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15. septembra noteikumos Nr. 1065 "Noteikumi par aizdevumiem sīko (mikro), mazo un vidējo saimnieciskās darbības veicēju un lauksaimniecības un mežsaimniecības pakalpojumu kooperatīvo sabiedrību attīstības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15. septembra noteikumos Nr. 1065 "Noteikumi par aizdevumiem sīko (mikro), mazo un vidējo saimnieciskās darbības veicēju un lauksaimniecības un mežsaimniecības pakalpojumu kooperatīvo sabiedrību attīstības veicināšanai” (turpmāk - MK Noteikumu projekts) izstrādāts, lai nodrošinātu valsts budžeta finansējuma piešķiršanu Latvijā reģistrētiem komersantiem sniedzot atbalstu Ukrainas rekonstrukcijas attīstībai un ekonomiskās darbības atjaunošanai.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finansējuma pieejamību Latvijas komersantiem sniedzot atbalstu Ukrainas rekonstrukcijai un ekonomiskās darbības atjaunošanai.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tradicionāli ir bijis nozīmīgs Latvijas ekonomiskās sadarbības partneris ar kuru vieno plaša praktiskā sadarbība. Ukrainai, atrodoties kara stāvoklī, tās ekonomiskā sadarbība ar ārējiem partneriem nenoris pēc ierastās kārtības un Ukrainas šī brīža vajadzības atšķiras no miera laika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valdība plāno iesaistīties Ukrainas atjaunošanā ilgtermiņā. 2024. gada 11. aprīlī parakstītā Latvijas Republikas un Ukrainas vienošanās par ilglaicīgu atbalstu un drošības saistībām nosaka, ka Ukrainas rekonstrukcijas pamatuzdevums ir veicināt Ukrainas valsts nākotnes noturību. Tās dalībnieki apliecina, ka sadarbosies, lai atbalstītu Ukrainu, atjaunojot kara laikā sagrauto civilo un kritisko valsts un privāto infrastruktūru un īpašumus, tādējādi veicinot modernākas un attīstītākas Ukrainas valsts un sabiedrības izveidi. Šim mērķim, laika posmā no 2024. gada līdz 2026. gadam Latvija rezervē finansējumu 15 milj. EUR apmērā, lai īstenotu rekonstrukcijas projektus, savas aktivitātes un ieguldījumu, prioritāri koncentrējot Ukrainas Čerņihivas apgabalā un Čerņihivas pilsētā tādos virzienos kā sociālo infrastruktūras objektu atjaunošana, ekspertīzes nodošana, īpaši ar Eiropas Savienības integrāciju saistītos jautājumos. Puses arī apņemas turpināt veicināt G7 iniciēto Daudzpusējo donoru koordinācijas platformu, kā arī citus koordinācijas mehānismus, sekmējot kopīgus starptautiskus centienus Ukrainas atjaunošanai un Ukrainas reformu progresam.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Privātajā sektorā Kijivā, valsts rietumu daļā un valsts centrālajos apgabalos ekonomika funkcionē un pēc būtības nav īpaši pielīdzināma kara laika ekonomikai. Savukārt Čerņihivas apgabals, par kuru kā Latvijas prioritāro rekonstrukcijas apgabalu Latvijas valdība vienojās 2022. gada septembrī, robežojas ar Krieviju un Baltkrieviju, un Krievijas uzbrukumam tas bija pakļauts jau no pirmajām pilna mēroga kara dienām 2022. gada februāra beigās. Reģiona ekonomika ir cietusi no karadarbības un neattīstās strauji - Krievijas agresijas rezultātā apmēram 150 000 apgabala iedzīvotāju bija spiesti pamest savus mājokļus, tika iznīcinātas ap 9200 māju un infrastruktūras objektu, tajā skaitā slimnīcas un izglītības iestādes, ap 500 uzņēmumu saimnieciskā darbība tika pārtraukta vai arī izbeigta. Uzņēmējdarbības vides atjaunošana un attīstība, lai veidotu jaunu reģiona ekonomiku un jaunas darba vietas tādos virzienos kā lauksaimniecība un pārtikas rūpniecība, vieglā rūpniecība, mašīnbūve, informācijas tehnoloģijas un kokrūpniecība, ir viens no reģiona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tas nozīmē ekonomiskās sadarbības akcentēšanu uz atsevišķām nozarēm, kur pašreizējos apstākļos ir pieprasījums, un kurās Latvijas uzņēmumi var nodrošināt piedāvājumu. Šo nozaru vidū ir aizsardzības industrija, tehnoloģijas, informācijas un komunikācijas tehnoloģijas (IKT), transports un loģistika,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Latvija Černihivas apgabalā iesaistās plānveida atbalstā, sadarbībā ar Ukrainas oficiālajam iestādēm apzinot potenciālos rekonstrukcijas objektus un cita veida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uzņēmēju interesi sadarboties ar Ukrainu apliecināja arī plašā uzņēmēju delegācija, kas piedalījās Ekonomikas ministrijas amatpersonu vizītēs uz Ukrainu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1065 ir noteiktas normas, kas saistītas ar saimniecisko darbību statistisko klasifikāciju, kas tiek noteiktas ar Eiropas Parlamenta un Padomes 2006. gada 20. decembra regula (EK) Nr. 1893/2006, ar ko izveido NACE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ekonomika turpina balstīties uz ārvalstu finansiālo palīdzību, t.sk. nacionālā un reģionālā līmenī nepieciešamo publiskā sektora vajadzību nodrošināšanai. Nacionālā budžeta ieņēmumi tiek novirzīti militārajām vajadzībām un sociālo izdevumu segšanai, kas ir prioritāte, tādēļ ir izaicinājums novirzīt atjaunošanas programmām tām nepieciešamo finansējumu. Latvija kopš 2022. gada iesaistās Ukrainas rekonstrukcijā un tiek atvēlēti resursi no valsts budžeta atbalstam Ukrainas apgabala infrastruktūras objektu rekonstrukcijas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ekonomisko interešu stiprināšanai būtiski ir gan valsts iestāžu, gan Latvijas uzņēmēju centieni veidot “sasaisti” starp Ukrainas rekonstrukcijas, reformu un ekonomiskās darbības atjaunošanas vajadzībām un Latvijas piedāvātajiem risinājumiem, piemēram, izmantojot iespējas parādīt prototipus un izvietot tos Ukrainā lietošanai, reklamēšanai, kas pavērtu lielākas iespējas piesaistīt Ukrainas vai citu valstu finansējumu. Lielākās iespējas pastāv mērķtiecīgi piedāvājot izejvielas, preces, pakalpojumus un citus risinājumus, kas nav pieejami uz vietas Ukrainā un kas izmaksu (cenas) ziņā būtu lētāki par citu valstu piedāvātajiem.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Ukrainas puses lūgumu, Ekonomikas ministrija piedāvā 2025. un 2026. gadā novirzīt finansējumu 4 000 000 EUR apmērā (ik gadu 2 000 000 EUR), sniedzot atbalstu Latvijā reģistrētiem komersantiem, kuriem tiks piešķirts aizdevums investīcijām un apgrozāmajiem līdzekļiem, sniedzot atbalstu Ukrainas rekonstrukcijas attīstībai un darbības atjaunošanai. Lai nodrošinātu minēto sadarbību, nepieciešams izstrādāt atbalsta programmas nosacījumus minētā finansējuma izmantošanai, veicot grozījumus Ministru kabineta 2009. gada 15. septembra noteikumos Nr. 1065 "Noteikumi par aizdevumiem sīko (mikro), mazo un vidējo saimnieciskās darbības veicēju un lauksaimniecības un mežsaimniecības pakalpojumu kooperatīvo sabiedrību attīstības veicināšanai" (turpmāk – MK Noteikumi Nr.1065).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1065 identificēta nepieciešamība precizēt saimniecisko darbību statistisko klasifikāciju, ņemot vērā, ka Eiropas Parlamenta un Padomes 2006. gada 20. decembra regula (EK) Nr. 1893/2006, ar ko izveido NACE 2. red. saimniecisko darbību statistisko klasifikāciju, kā arī groza Padomes Regulu (EEK) Nr. 3037/90 un dažas EK regulas par īpašām statistikas jomām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r w:rsidR="00000000" w:rsidRPr="00000000" w:rsidDel="00000000">
        <w:rPr>
          <w:b w:val="1"/>
          <w:rtl w:val="0"/>
        </w:rPr>
        <w:t xml:space="preserve">1. Papildināt ar 5.7. apakšpunktu, kurā tiek noteikts novirzīt 4 000 000 EUR, ar iespēju sniegt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 </w:t>
      </w:r>
      <w:r w:rsidR="00000000" w:rsidRPr="00000000" w:rsidDel="00000000">
        <w:rPr>
          <w:rtl w:val="0"/>
        </w:rPr>
        <w:t xml:space="preserve">Ja atbalstu piešķir kā reģionālo atbalstu </w:t>
      </w:r>
      <w:r w:rsidR="00000000" w:rsidRPr="00000000" w:rsidDel="00000000">
        <w:rPr>
          <w:b w:val="1"/>
          <w:rtl w:val="0"/>
        </w:rPr>
        <w:t xml:space="preserve">saskaņā ar Komisijas regula Nr. 651/2014 14.pantu, atbalsts var tikt piešķirts tikai ieguldījumu veikšanai Latvijas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Dānijas un Zviedrijas pieredzi, lai veicinātu ieguldījumus Ukrainas infrastruktūras atjaunošanā, jaunu darba vietu rašanos un labklājību Ukrainas iedzīvotājiem, Ekonomikas ministrija, ierosina paredzēt iespēju sniegt atbalstu Latvijā reģistrētiem komersantiem kuriem tiks piešķirts aizdevums investīcijām vai apgrozāmajiem līdzekļiem, sniedzot atbalstu preču ražošanai un pakalpojumu sniegšanai vai uzņēmumu kapitāla daļu iegādei, kas veicina Ukrainas infrastruktūras rekonstrukciju un attīstību, un ekonomiskās darbības atjaunošanu (</w:t>
      </w:r>
      <w:r w:rsidR="00000000" w:rsidRPr="00000000" w:rsidDel="00000000">
        <w:rPr>
          <w:b w:val="1"/>
          <w:rtl w:val="0"/>
        </w:rPr>
        <w:t xml:space="preserve">atbalstu sniedzot kā reģionālo atbalstu</w:t>
      </w:r>
      <w:r w:rsidR="00000000" w:rsidRPr="00000000" w:rsidDel="00000000">
        <w:rPr>
          <w:rtl w:val="0"/>
        </w:rPr>
        <w:t xml:space="preserve"> saskaņā ar Komisijas regula Nr. 651/2014 14.pantu, </w:t>
      </w:r>
      <w:r w:rsidR="00000000" w:rsidRPr="00000000" w:rsidDel="00000000">
        <w:rPr>
          <w:b w:val="1"/>
          <w:rtl w:val="0"/>
        </w:rPr>
        <w:t xml:space="preserve">atbalsts var tikt piešķirts tikai ieguldījumu veikšanai Latvijas teritorijā</w:t>
      </w:r>
      <w:r w:rsidR="00000000" w:rsidRPr="00000000" w:rsidDel="00000000">
        <w:rPr>
          <w:rtl w:val="0"/>
        </w:rPr>
        <w:t xml:space="preserve">). Tādējādi tiktu arī stiprinātas ekonomiskās saites starp abām valstīm, sniegts atbalsts Latvijas uzņēmējiem, kas ir gatavi investēt Ukrainā, kā arī uzlabotas to iespējas kvalificēties atbalsta programmās paredzētā 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 1065 ar 5.7. apakšpunktu, kurā tiek noteikts novirzīt 4 000 000 EUR (2025. gadā – 2 000 000 EUR, 2026. gadā – 2 000 000 EUR), izmantojot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pieejamo finansējumu. Minētais finansējums Latvijā reģistrētiem komersantiem paredzēts, lai sniegtu atbalstu preču ražošanai un pakalpojumu sniegšanai vai uzņēmumu kapitāla daļu iegādei, kas veicina Ukrainas infrastruktūras rekonstrukciju un attīstību, un ekonomiskās darbības atjaunošanu.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izsniegs AS “Attīstības finanšu institūcija Altum” (turpmāk – sabiedrība “Altum”), nosakot, ka atbalsts tiks sniegts investīcijām un apgrozāmajiem līdzekļiem. Lai saņemtu atbalstu, saimnieciskās darbības veicējam ir nepieciešams iesniegt sabiedrība “Altum” aizdevuma pieteikumu, kurā ietverts biznesa projekta apraksts, kā arī cita sabiedrība “Altum” norādītā informācija, kas nepieciešama valsts atbalsta kvalifikācijas apstiprināšanai un finansējuma saņemšanai, atbilstoši Noteikumu projektā noteiktajam mērķim – atbalsta sniegšanai Ukrainai, tās rekonstrukcijas attīstībai un ekonomiskās darbības atjaunošanai prioritāri enerģētikas, apstrādes rūpniecības un informācijas un komunikācijas tehnoloģiju jomā. Noteikumu projektā paredzētais regulējums par atbalsta sniegšanu prioritāri enerģētikas, apstrādes rūpniecības un informācijas un komunikācijas tehnoloģiju jomā nosaka politikas virzienu, akcentējot šo nozaru stratēģisko nozīmi Ukrainas rekonstrukcijā un ekonomikas atjaunošanā. Pirmajā mēnesī pēc grozījumu spēkā stāšanās iesniegtie pieteikumi tiks izskatīti prioritārā kārtībā iepriekš minētās jomās. Minētās prioritārās nozares nenosaka atšķirīgu vērtēšanas mehānismu vai priekšrocību piešķiršanu, bet kalpo kā vadlīnijas atbalsta piešķiršanas mērķtiecīgai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finansēšanas avota vienreizējo raksturu, aizdevumu termiņš noteikumu projektā ir ierobežots, lai nodrošinātu līdzekļu efektīvu izmantošanu un to savlaicīgu atgriešanos apgrozībā. Termiņa noteikšanā ņemts vērā paredzētā finansējuma apjoms un nepieciešamība līdzsvarot komersantu spēju īstenot projektus ar sabiedrības interesēm par līdzekļu izmantošanas racionālu uzraudzību. Līdz ar to aizdevuma termiņš nepārsniegs 2 gadus, kas ir pietiekams laiks projekta īstenošanai, vienlaikus nodrošinot finansējuma apgrozību un atbilstību finansēšanas avota raksturam.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5.7. apakšpunktā paredzētā finansējuma ietvaros sabiedrība “Altum” būs iespējams izsniegt arī apgrozāmo līdzekļu aizdevumus Latvijas komersantiem, kuru saimnieciskās darbības rezultātā tiks sniegts atbalsts preču ražošanai un pakalpojumu sniegšanai vai uzņēmumu kapitāla daļu iegādei Ukrainas rekonstrukcijas un ekonomiskās darbības atjaunošanai. Tas nozīmē, ja atbalstu piešķir kā reģionālo atbalstu saskaņā ar Komisijas regula Nr. 651/2014 14.pantu, atbalsts var tikt piešķirts tikai ieguldījumu veikšanai Latvijas teritorijā, t.i. preces ražo Latvijā ar mērķi tās piegādāt Ukrainai vai nodrošina pakalpojumus, kas ir tieši saistīti ar Ukrainas rekonstrukciju un ekonomikas darbības atjaunošanu. Latvijas uzņēmumi var sniegt preces un pakalpojumus un saņemt maksājumus par šādu ieguldījumu izveidi/atjaunošanu. Šādā gadījumā komersants biznesa plānā pamato nepieciešamību pēc apgrozāmo līdzekļu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ar šo finansējumu netiek paredzēts atbalstīt tikai preču vai pakalpojumu tirdzniecību bez sasaistes ar ieguldījumu veikšanu Ukrainas rekonstrukcijā vai ekonomikas atjaunošanā – katrā projektā komersantam jāspēj pamatot, kā paredzētās darbības sniedz pienesumu Ukrainas attīstībai un kā rezultātā veidojas ieguldījums (piemēram, Ukrainas sadarbības partnerim rodas iespēja nodrošināt jaunu ražošanas līniju vai produkcijas apjomu pieaugumu, enerģētikas infrastruktūras piegādes ražojošiem Ukrainas komersantiem, IKT risinājumu ieviešana efektivizējot Ukrainas komersanta procesus,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pieteikumā un/vai biznesa aprakstā komersantam būs jāsniedz informāciju par to kāda veida sadarbība ir plānota ar komersantiem Ukrainā, t.sk., kādi ieguldījumi ir plānoti un kurā darbības jomā, kā paredzētās darbības veicinās Ukrainas ekonomisko attīstību, rekonstrukciju vai noturību. Piemēram, komersantam būs jāsniedz apraksts, kā ieguldījums veicinās Ukrainā darba vietu izveidi, ekonomisko aktivitāti, vai noteiktais sadarbības modelis paredz tādas produkcijas piegādi, kas sniedz pienesumu Ukrainas ekonomiskās darbības atjaunošanai, un vai tiek paredzēta tālāka ražošanas attīstība Ukrainā, vai ieguldījumi ir plānoti, piemēram, noteiktā Ukrainas infrastruktūrā, t.sk., ražotņu izbūvē vai atjaunošanā, un kā investīcija ietekmēs ekonomiskās aktivitātes atjaunošanu vai noturību. Ar šo MK Noteikumu projektā iekļauto finansējumu netiek paredzēts atbalstīt tikai preču vai pakalpojumu piegādi, bet gan sadarbības rezultātā ir jābūt veiktiem ieguldījumiem Ukrainā – šo pamatojumu komersants sniedz aizdevuma pieteikumā (vai tam pievienotajos dokumentos). Nepieciešamības gadījumā, lai nodrošinātu, ka šo noteikumu 5.7. apakšpunktā minētais finansējums tiek izmantots atbilstoši mērķim un noteiktajai darbībai, sabiedrība "Altum" pirms aizdevuma piešķiršanas konsultēsies ar Ārlietu ministriju, lai izvērtētu komersanta pieteikumā iesniegto informāciju un atbilstību šo grozījumu paredzēto mērķu sasniegšanu. Biznesa projektā tiek sniegts pamatojums un pievienota attiecīgā dokumentācija, kas apliecina potenciālo sadarbību, piemēram sadarbības memorands ar Ukrainas puses komersantiem. Sabiedrība “Altum” pieņem lēmumu par atbalsta piešķiršanu, pamatojoties uz saimnieciskās darbības veicēja iesniegtajiem dokumentiem, finansējot tikai tādas darbības, kuras sabiedrība "Altum" ir atzinusi par ekonomiski dzīvotspējīgām, tai skaitā izvērtējot saimnieciskās darbības veicēja biznesa idejas potenciālu un ilgtspēju, projekta īstenošanai nepieciešamo līdzfinansējumu nodrošinājuma pietiekamību un likviditāti, saimnieciskās darbības veicēja esošo un nākotnes finanšu situāciju, zināšanu un pieredzes atbilstību, kā arī analizējot identificētos uzņēmējdarbības riskus un citus faktorus saimnieciskās darbības veicēja aizdevuma kvalitātes noteikšanai, tai skaitā nodrošinot pamatotas projekta līdzfinansējuma un nodrošinājuma koeficienta attiecības piemērošanu. Ja sabiedrība “Altum” konstatē, ka projekts neatbilst finansējuma izlietošanas mērķim un noteiktajai darbībai, finansējumu no šo Noteikumu projekta iekļautā 5.7. apakšpunkta neizsniedz, bet vērtē aizdevuma izsniegšanas iespēju no atbalsta programmā pieejamajiem līdzekļiem (MK Noteikumu Nr.1065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Nr.1065 plānotos grozījumus, kas paredz novirzīt 4 000 000 EUR, izmantojot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Ekonomikas ministrija iesniegs Ministru kabinetā rīkojuma projektu par apropriācijas pārdali, lūdzot šim mērķim pārdalīt 4 000 000 EUR (2025. gadā 2 000 000 EUR un 2026. gadā 2 000 000 EUR) rezervētā 74. Gadskārtējā valsts budžeta izpildes procesā pārdalāmais finansējums" programmas 18.00.00 "Finansējums valsts drošības stiprināšanas pasākumiem". Finansējums tiek izslēgts no vispārējās valdības strukturālās bilances, jo tiek piešķirts vienreizējiem mērķiem - Ukrainas atbalstam un rekonstrukcijai saskaņā ar likuma "Par valsts budžetu 2024. gadam un budžeta ietvaru 2024., 2025. un 2026. gadam" 5.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ka no šo noteikumu 5.7. apakšpunktā minētā finansējuma atlikums un sniegto aizdevumu atmaksas rezultātā iegūtie līdzekļi tiek ieskaitīti valsts budžetā un ņemot vērā tā vienreizējo raksturu nav izmantojams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13.</w:t>
      </w:r>
      <w:r w:rsidR="00000000" w:rsidRPr="00000000" w:rsidDel="00000000">
        <w:rPr>
          <w:vertAlign w:val="superscript"/>
          <w:rtl w:val="0"/>
        </w:rPr>
        <w:t xml:space="preserve">3</w:t>
      </w:r>
      <w:r w:rsidR="00000000" w:rsidRPr="00000000" w:rsidDel="00000000">
        <w:rPr>
          <w:rtl w:val="0"/>
        </w:rPr>
        <w:t xml:space="preserve">. un 20.</w:t>
      </w:r>
      <w:r w:rsidR="00000000" w:rsidRPr="00000000" w:rsidDel="00000000">
        <w:rPr>
          <w:vertAlign w:val="superscript"/>
          <w:rtl w:val="0"/>
        </w:rPr>
        <w:t xml:space="preserve">3</w:t>
      </w:r>
      <w:r w:rsidR="00000000" w:rsidRPr="00000000" w:rsidDel="00000000">
        <w:rPr>
          <w:rtl w:val="0"/>
        </w:rPr>
        <w:t xml:space="preserve">. punktu, neizlietotā finansējuma atlikums un sniegto aizdevumu atmaksas rezultātā gūtais finansējums tiek ieskaitīts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Veikt tehniskus precizējumus: </w:t>
      </w:r>
      <w:r w:rsidR="00000000" w:rsidRPr="00000000" w:rsidDel="00000000">
        <w:rPr>
          <w:b w:val="1"/>
          <w:rtl w:val="0"/>
        </w:rPr>
        <w:t xml:space="preserve">1) pārņemt Saimniecisko darbību statistiskā klasifikācija Eiropas Kopienā,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 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precizēts 11.4. apakšpunkts, paplašinot atbalsta saņēmēju loku</w:t>
      </w:r>
      <w:r w:rsidR="00000000" w:rsidRPr="00000000" w:rsidDel="00000000">
        <w:rPr>
          <w:rtl w:val="0"/>
        </w:rPr>
        <w:t xml:space="preserve">, lai nodrošinātu pēc iespējas plašāku atbalsta saņēmēju loku, turpmāk atbalstu var saņemt komersanti, kas darbojas finanšu starpniecības nozarē – finanšu tehnoloģiju uzņēmumi jeb tādi uzņēmumi, kas attīsta jaunus biznesa modeļus, iedzīvina inovācijas, veido jaunus finanšu produktus un pakalpojumus, pilnveido pakalpojumu sniegšanas veidus un biznesa modeļus.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precizēts 12.</w:t>
      </w:r>
      <w:r w:rsidR="00000000" w:rsidRPr="00000000" w:rsidDel="00000000">
        <w:rPr>
          <w:b w:val="1"/>
          <w:vertAlign w:val="superscript"/>
          <w:rtl w:val="0"/>
        </w:rPr>
        <w:t xml:space="preserve">7</w:t>
      </w:r>
      <w:r w:rsidR="00000000" w:rsidRPr="00000000" w:rsidDel="00000000">
        <w:rPr>
          <w:b w:val="1"/>
          <w:rtl w:val="0"/>
        </w:rPr>
        <w:t xml:space="preserve">3. apakšpunkts</w:t>
      </w:r>
      <w:r w:rsidR="00000000" w:rsidRPr="00000000" w:rsidDel="00000000">
        <w:rPr>
          <w:rtl w:val="0"/>
        </w:rPr>
        <w:t xml:space="preserve">, nosakot, ka saimnieciskās darbības veicēji tiek skatīti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37.</w:t>
      </w:r>
      <w:r w:rsidR="00000000" w:rsidRPr="00000000" w:rsidDel="00000000">
        <w:rPr>
          <w:b w:val="1"/>
          <w:vertAlign w:val="superscript"/>
          <w:rtl w:val="0"/>
        </w:rPr>
        <w:t xml:space="preserve">1</w:t>
      </w:r>
      <w:r w:rsidR="00000000" w:rsidRPr="00000000" w:rsidDel="00000000">
        <w:rPr>
          <w:b w:val="1"/>
          <w:rtl w:val="0"/>
        </w:rPr>
        <w:t xml:space="preserve"> un 21.</w:t>
      </w:r>
      <w:r w:rsidR="00000000" w:rsidRPr="00000000" w:rsidDel="00000000">
        <w:rPr>
          <w:b w:val="1"/>
          <w:vertAlign w:val="superscript"/>
          <w:rtl w:val="0"/>
        </w:rPr>
        <w:t xml:space="preserve">7</w:t>
      </w:r>
      <w:r w:rsidR="00000000" w:rsidRPr="00000000" w:rsidDel="00000000">
        <w:rPr>
          <w:b w:val="1"/>
          <w:rtl w:val="0"/>
        </w:rPr>
        <w:t xml:space="preserve"> punktos precizētas atsauces uz Komisijas regulām </w:t>
      </w:r>
      <w:r w:rsidR="00000000" w:rsidRPr="00000000" w:rsidDel="00000000">
        <w:rPr>
          <w:b w:val="1"/>
          <w:rtl w:val="0"/>
        </w:rPr>
        <w:t xml:space="preserve">5) precizēt 21.</w:t>
      </w:r>
      <w:r w:rsidR="00000000" w:rsidRPr="00000000" w:rsidDel="00000000">
        <w:rPr>
          <w:b w:val="1"/>
          <w:vertAlign w:val="superscript"/>
          <w:rtl w:val="0"/>
        </w:rPr>
        <w:t xml:space="preserve">5</w:t>
      </w:r>
      <w:r w:rsidR="00000000" w:rsidRPr="00000000" w:rsidDel="00000000">
        <w:rPr>
          <w:b w:val="1"/>
          <w:rtl w:val="0"/>
        </w:rPr>
        <w:t xml:space="preserve">1 apakšpunktu, </w:t>
      </w:r>
      <w:r w:rsidR="00000000" w:rsidRPr="00000000" w:rsidDel="00000000">
        <w:rPr>
          <w:rtl w:val="0"/>
        </w:rPr>
        <w:t xml:space="preserve">lai nodrošinātu atbilstību Komisijas regulas Nr. 651/2014 nosacījumiem attiecībā uz sākotnējo ieguldījumu. Saskaņā ar regulas 2. panta 49. punkta b) apakšpunktu sākotnējais ieguldījums var tikt īstenots, iegādājoties esošu uzņēmumu vai tā aktīvus. Šādā gadījumā jāievēro regulas 14. panta 6. punkta trešās daļā noteiktie nosacījumi, proti, ka aktīvu iegāde notiek no trešām personām, kas nav saistītas ar pircēju. Precizējuma mērķis ir skaidri noteikt, ka šāds ierobežojums piemērojams arī attiecīgajos gadījumos, kad atbalsts tiek piešķirts saskaņā ar noteikumu projektu, tādējādi nodrošinot regulas piemērošanas konsekvenci un atbalsta atbilstību Eiropas Savienības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ietvaros tiek plānots 2025. un 2026. gadā sniegt atbalstu Latvijas komersantiem investīciju vai apgrozāmo līdzekļu aizdevums nepieciešams preču ražošanai un pakalpojumu sniegšanai vai uzņēmumu kapitāla daļu iegādei, kas veicina Ukrainas infrastruktūras rekonstrukciju un attīstību, un ekonomiskās darbības atjaunošanu. Finansējums tiek piešķirts vienreizēja aizdevuma veidā ar nosacījumiem, ka vienam komersantam maksimālā aizdevuma summa ir līdz 1 000 000 EUR un aizdevuma termiņš līdz 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tiek piešķirts maksimālais aizdevuma apmērs, katru gadu ir iespējams atbalstīt 2 komersantus. Ja aizdevuma summa ir mazāka par maksimāli pieļaujamo, atbalstīto komersantu skaits pieaug un attiecīgajā gadā var arī tikt dubultots. Finansējuma plānošana nodrošina efektīvu resursu izmantošanu Ukrainas atbalstam un saglabā elastību atbalstīt dažādus komersantus, atbilstoši Noteikumu projektā noteiktajiem nosacījumiem.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4 000 0000 euro apmērā tiks nodrošināts, pamatojoties uz likuma "Par valsts budžetu  2025. gadam un budžeta ietvaru 2025., 2026. un 2027. gadam" 69. pantu, veicot apropriācijas pārdali no budžeta resora "74. Gadskārtējā valsts budžeta izpildes procesā pārdalāmais finansējums" programmas 18.00.00 "Finansējums valsts drošības stiprināšanas pasākumiem" prioritārā pasākuma "Pasākumi Ukrainas atbalstam un globālās drošības veicināšanai (atbalsts Ukrainas rekonstrukcijai un iemaksas Ukrainas atbalstam)" uz Ekonomikas ministrijas budžetu, lai nodrošinātu finansējuma pieejamību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jūnijs Regulas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2022/2473, ar kuru, piemērojot Līguma par Eiropas Savienības darbību 107. un 108. pantu, dažu kategoriju atbalstu uzņēmumiem, kas nodarbojas ar zvejas un akvakultūras produktu ražošanu, apstrādi un tirdzniecību,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darbdienu laikā no grozījumu spēkā stāšanās iesniegs Eiropas Komisijā aktuālu kopsavilkuma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jūnijs Regulas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w:t>
            </w:r>
            <w:r w:rsidR="00000000" w:rsidRPr="00000000" w:rsidDel="00000000">
              <w:rPr>
                <w:sz w:val="24"/>
                <w:vertAlign w:val="superscript"/>
                <w:rtl w:val="0"/>
              </w:rPr>
              <w:t xml:space="preserve">7</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w:t>
            </w:r>
            <w:r w:rsidR="00000000" w:rsidRPr="00000000" w:rsidDel="00000000">
              <w:rPr>
                <w:sz w:val="24"/>
                <w:vertAlign w:val="superscript"/>
                <w:rtl w:val="0"/>
              </w:rPr>
              <w:t xml:space="preserve">5</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6.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w:t>
            </w:r>
            <w:r w:rsidR="00000000" w:rsidRPr="00000000" w:rsidDel="00000000">
              <w:rPr>
                <w:sz w:val="24"/>
                <w:vertAlign w:val="superscript"/>
                <w:rtl w:val="0"/>
              </w:rPr>
              <w:t xml:space="preserve">5</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Komisijas regula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w:t>
            </w:r>
            <w:r w:rsidR="00000000" w:rsidRPr="00000000" w:rsidDel="00000000">
              <w:rPr>
                <w:sz w:val="24"/>
                <w:vertAlign w:val="superscript"/>
                <w:rtl w:val="0"/>
              </w:rPr>
              <w:t xml:space="preserve">7</w:t>
            </w:r>
            <w:r w:rsidR="00000000" w:rsidRPr="00000000" w:rsidDel="00000000">
              <w:rPr>
                <w:sz w:val="24"/>
                <w:rtl w:val="0"/>
              </w:rPr>
              <w:t xml:space="preserve"> punkts; 34.2.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Komisijas regula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w:t>
            </w:r>
            <w:r w:rsidR="00000000" w:rsidRPr="00000000" w:rsidDel="00000000">
              <w:rPr>
                <w:sz w:val="24"/>
                <w:vertAlign w:val="superscript"/>
                <w:rtl w:val="0"/>
              </w:rPr>
              <w:t xml:space="preserve">10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w:t>
            </w:r>
            <w:r w:rsidR="00000000" w:rsidRPr="00000000" w:rsidDel="00000000">
              <w:rPr>
                <w:sz w:val="24"/>
                <w:vertAlign w:val="superscript"/>
                <w:rtl w:val="0"/>
              </w:rPr>
              <w:t xml:space="preserve">4</w:t>
            </w:r>
            <w:r w:rsidR="00000000" w:rsidRPr="00000000" w:rsidDel="00000000">
              <w:rPr>
                <w:sz w:val="24"/>
                <w:rtl w:val="0"/>
              </w:rPr>
              <w:t xml:space="preserve"> punkts, 20.</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2022/2473, ar kuru, piemērojot Līguma par Eiropas Savienības darbību 107. un 108. pantu, dažu kategoriju atbalstu uzņēmumiem, kas nodarbojas ar zvejas un akvakultūras produktu ražošanu, apstrādi un tirdzniecību,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25-TA-207</w:t>
    </w:r>
    <w:r>
      <w:br/>
    </w:r>
    <w:r w:rsidR="00000000" w:rsidRPr="00000000" w:rsidDel="00000000">
      <w:rPr>
        <w:rtl w:val="0"/>
      </w:rPr>
      <w:t xml:space="preserve">Izdrukāts 29.07.2026. 21.19 - 9.0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25-TA-207</w:t>
    </w:r>
    <w:r>
      <w:br/>
    </w:r>
    <w:r w:rsidR="00000000" w:rsidRPr="00000000" w:rsidDel="00000000">
      <w:rPr>
        <w:rtl w:val="0"/>
      </w:rPr>
      <w:t xml:space="preserve">Izdrukāts 29.07.2026. 21.19 - 9.0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anotācija_(ex_ante)_25-TA-207.docx</dc:title>
</cp:coreProperties>
</file>

<file path=docProps/custom.xml><?xml version="1.0" encoding="utf-8"?>
<Properties xmlns="http://schemas.openxmlformats.org/officeDocument/2006/custom-properties" xmlns:vt="http://schemas.openxmlformats.org/officeDocument/2006/docPropsVTypes"/>
</file>