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21. jūnija noteikumos Nr. 554 "Noteikumi par valstīm, kuru pilsoņiem, izsniedzot vīzu vai uzturēšanās atļauju, veic papildu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pamatojoties uz Valsts drošības dienesta un Satversmes aizsardzības biroja sniegto informāciju iekšlietu ministram, lai izpildītu Ministru kabineta 2010. gada 21. jūnija noteikumu Nr. 554 “Noteikumi par valstīm, kuru pilsoņiem, izsniedzot vīzu vai uzturēšanās atļauju, veic papildu pārbaudi” (turpmāk – Noteikumi) 2.</w:t>
      </w:r>
      <w:r w:rsidR="00000000" w:rsidRPr="00000000" w:rsidDel="00000000">
        <w:rPr>
          <w:vertAlign w:val="superscript"/>
          <w:rtl w:val="0"/>
        </w:rPr>
        <w:t xml:space="preserve">1</w:t>
      </w:r>
      <w:r w:rsidR="00000000" w:rsidRPr="00000000" w:rsidDel="00000000">
        <w:rPr>
          <w:rtl w:val="0"/>
        </w:rPr>
        <w:t xml:space="preserve">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aktuālu informāciju par valstīm, kuru pilsoņiem, izsniedzot vīzu vai uzturēšanās atļauju, veic papildu pārbaudi, noteikumu projekts paredz aktualizēt Noteikumu pielikumā iekļauto valstu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to valstu sarakstu, kuru pilsoņiem, izsniedzot vīzu vai uzturēšanās atļauju, veic papildu pārbaudi (turpmāk – Saraksts). Savukārt Noteikumu 2.</w:t>
      </w:r>
      <w:r w:rsidR="00000000" w:rsidRPr="00000000" w:rsidDel="00000000">
        <w:rPr>
          <w:vertAlign w:val="superscript"/>
          <w:rtl w:val="0"/>
        </w:rPr>
        <w:t xml:space="preserve">1</w:t>
      </w:r>
      <w:r w:rsidR="00000000" w:rsidRPr="00000000" w:rsidDel="00000000">
        <w:rPr>
          <w:rtl w:val="0"/>
        </w:rPr>
        <w:t xml:space="preserve"> punkts paredz, ka Valsts drošības dienests sadarbībā ar Satversmes aizsardzības biroju ne retāk kā reizi trijos gados pārskata Noteikumu pielikumā esošo valstu sarakstu un informē iekšlietu ministru par tajā nepieciešamajām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pielikumā esošais valstu saraksts pēdējo reizi tika pārskatīts 2022. gadā, secināms, ka ir iestājies Noteikumu 2.</w:t>
      </w:r>
      <w:r w:rsidR="00000000" w:rsidRPr="00000000" w:rsidDel="00000000">
        <w:rPr>
          <w:vertAlign w:val="superscript"/>
          <w:rtl w:val="0"/>
        </w:rPr>
        <w:t xml:space="preserve">1 </w:t>
      </w:r>
      <w:r w:rsidR="00000000" w:rsidRPr="00000000" w:rsidDel="00000000">
        <w:rPr>
          <w:rtl w:val="0"/>
        </w:rPr>
        <w:t xml:space="preserve">punktā noteiktais termiņš un ir nepieciešams aktualizēt valstu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2025. gada jūlijā ir pieņēmusi labvēlīgākus Šengenas vīzu noteikumus attiecībā uz Indonēziju, paredzot, ka turpmāk Indonēzijas pilsoņi, kuri otro reizi apmeklēs Eiropas Savienību, varēs pretendēt uz daudzkārtējas ieceļošanas Šengenas vīzām. Lēmums bija saistīts ar Eiropas Komisijas veiktā migrācijas rādītāju izvērtējuma rezultātiem, kas norāda uz zemu vīzu atteikumu rādītāju, relatīvi zemu nelegālās uzturēšanās gadījumu skaitu, kā arī ģeopolitisko dimensiju – nepieciešamību veicināt ekonomiskās un kultūras attiecības, t.sk. tūrismu. Arī Valsts drošības dienesta un Satversmes aizsardzības biroja rīcībā nav informācijas, kas liecinātu par būtiskiem riskiem saistībā ar Indonēzijas pilsoņu ieceļošanu Latvijas Republikā. Ņemot vērā minēto, pastāv pamats svītrot Indonēziju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Savienība ir piemērojusi Persijas līča sadarbības padomes valstīm, tai skaitā, Bahreinas Karalistei, Kataras Valstij, Kuveitas Valstij un Omānas Sultanātam – īpaši labvēlīgu vīzu kaskādes principu, kā arī ir uzsāktas sarunas par iespējām noteikt bezvīzu ieceļošanas kārtību šīm valstīm. Eiropas Savienības dalībvalstu vēstniecību vadītāji Persijas līča sadarbības padomes valstīs sadarbībā ar Eiropas Savienības Delegācijām šajās valstīs 2025. gada jūnijā un jūlijā ir izstrādājušas ziņojumus par aktuālo situāciju vīzu izsniegšanas jautājumos un nākotnes iespējām noslēgt līgumus par bezvīzu ieceļošanas kārtību. Ziņojumos ir izcelts, ka minētās valstis nerada terorisma vai migrācijas riskus Šengenas zonai. Arī Valsts drošības dienesta un Satversmes aizsardzības biroja rīcībā nav informācijas, kas liecinātu par būtiskiem riskiem saistībā ar Indonēzijas Republikas, Bahreinas Karalistes, Kataras Valsts, Kuveitas Valsts un Omānas Sultanāta pilsoņu ieceļošanu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informāciju par 2023. – 2025. gadā veiktajām pārbaudēm, secināms, ka Nigērijas Federatīvās Republikas (turpmāk – Nigērija) pilsoņi lielākoties pieprasa tūrisma vīzas vai ilgtermiņa vīzas, kā arī uzturēšanās atļaujas. Pārbaužu ietvaros attiecībā uz Nigērijas pilsoņiem būtiski riski nav konstatēti. Plašākas Valsts drošības dienesta rīcībā esošās informācijas kontekstā arī secināms, ka ar Nigērijas pilsoņiem saistītie riski pēdējo gadu laikā ir mazinājušies un pašreiz ir zemi, tādēļ nepieciešamība pēc papildu pārbaudēm šobrīd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salīdzinājumā ar situāciju, kad Saraksts pārskatīts pēdējo reizi, ir konstatēti paaugstināti terorisma riski Tadžikistānas Republikā, ko rada teroristiskās organizācijas Islamic State Khorasan Province aktivitātes un ietekme. Šīs valsts pilsoņi ir pakļauti augstam radikalizācijas riskam, ar potenciālām iespējām iesaistīties terorisma aktivitātēs, par ko liecina citur Eiropā konstatētie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paredz papildināt Sarakstu ar Tadžikistānas Republiku un svītrot no Saraksta Bahreinas Karalisti, Indonēzijas Republiku, Kataras Valsti, Kuveitas Valsti, Nigērijas Federatīvo Republiku un Omānas Sultanātu. Tāpat tiek atbilstoši precizēts un aktualizēts Lībijas Valsts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ir izvērtēts, papildus izmaksas nav paredzētas.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punkts noteic, ka gadījumā, ja projekta izstrādes procesā sabiedrības līdzdalības iespējas netiek nodrošinātas, institūcija lēmumu neiesaistīt sabiedrības pārstāvjus pamato, sniedzot skaidrojumu tiesību akta projekta sākotnējas ietekmes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w:t>
      </w:r>
      <w:r w:rsidR="00000000" w:rsidRPr="00000000" w:rsidDel="00000000">
        <w:rPr>
          <w:vertAlign w:val="superscript"/>
          <w:rtl w:val="0"/>
        </w:rPr>
        <w:t xml:space="preserve">1</w:t>
      </w:r>
      <w:r w:rsidR="00000000" w:rsidRPr="00000000" w:rsidDel="00000000">
        <w:rPr>
          <w:rtl w:val="0"/>
        </w:rPr>
        <w:t xml:space="preserve"> punkts noteic Valsts drošības dienesta un Satversmes aizsardzības biroja kompetenci veikt risku izvērtējumu un sniegt rekomendācijas par valstīm, kuras nepieciešams iekļaut sarakstā. Sabiedrības līdzdalības ietvaros paustais viedoklis nevar ietekmēt Noteikumu grozījumu saturu. Projekts un tā anotācija būs publiski pieejami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migrāciju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25-TA-2467</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25-TA-2467</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anotācija_(ex_ante)_25-TA-2467.docx</dc:title>
</cp:coreProperties>
</file>

<file path=docProps/custom.xml><?xml version="1.0" encoding="utf-8"?>
<Properties xmlns="http://schemas.openxmlformats.org/officeDocument/2006/custom-properties" xmlns:vt="http://schemas.openxmlformats.org/officeDocument/2006/docPropsVTypes"/>
</file>