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3E9B6A" w14:textId="77777777" w:rsidR="00E3667C" w:rsidRDefault="00E3667C" w:rsidP="00E3667C">
      <w:pPr>
        <w:pStyle w:val="BodyText2"/>
        <w:spacing w:after="0" w:line="240" w:lineRule="auto"/>
        <w:jc w:val="center"/>
        <w:rPr>
          <w:rFonts w:ascii="Times New Roman" w:hAnsi="Times New Roman"/>
          <w:b/>
          <w:sz w:val="24"/>
          <w:szCs w:val="24"/>
          <w:lang w:val="lv-LV"/>
        </w:rPr>
      </w:pPr>
    </w:p>
    <w:p w14:paraId="2FD37ABF" w14:textId="230075E6" w:rsidR="00F94CD0" w:rsidRDefault="00F94CD0" w:rsidP="00E3667C">
      <w:pPr>
        <w:pStyle w:val="BodyText2"/>
        <w:spacing w:after="0" w:line="240" w:lineRule="auto"/>
        <w:jc w:val="center"/>
        <w:rPr>
          <w:rFonts w:ascii="Times New Roman" w:hAnsi="Times New Roman"/>
          <w:b/>
          <w:sz w:val="24"/>
          <w:szCs w:val="24"/>
          <w:lang w:val="lv-LV"/>
        </w:rPr>
      </w:pPr>
      <w:r>
        <w:rPr>
          <w:rFonts w:ascii="Times New Roman" w:hAnsi="Times New Roman"/>
          <w:b/>
          <w:sz w:val="24"/>
          <w:szCs w:val="24"/>
          <w:lang w:val="lv-LV"/>
        </w:rPr>
        <w:t xml:space="preserve">Ekonomiskās attīstības </w:t>
      </w:r>
      <w:r w:rsidR="00B8464B">
        <w:rPr>
          <w:rFonts w:ascii="Times New Roman" w:hAnsi="Times New Roman"/>
          <w:b/>
          <w:sz w:val="24"/>
          <w:szCs w:val="24"/>
          <w:lang w:val="lv-LV"/>
        </w:rPr>
        <w:t>izmaiņas</w:t>
      </w:r>
      <w:r w:rsidR="00E3667C">
        <w:rPr>
          <w:rFonts w:ascii="Times New Roman" w:hAnsi="Times New Roman"/>
          <w:b/>
          <w:sz w:val="24"/>
          <w:szCs w:val="24"/>
          <w:lang w:val="lv-LV"/>
        </w:rPr>
        <w:t xml:space="preserve"> un prognozes</w:t>
      </w:r>
      <w:r w:rsidR="00E3667C">
        <w:rPr>
          <w:rStyle w:val="FootnoteReference"/>
          <w:rFonts w:ascii="Times New Roman" w:hAnsi="Times New Roman"/>
          <w:b/>
          <w:sz w:val="24"/>
          <w:szCs w:val="24"/>
          <w:lang w:val="lv-LV"/>
        </w:rPr>
        <w:footnoteReference w:id="1"/>
      </w:r>
    </w:p>
    <w:p w14:paraId="34F666AF" w14:textId="6BCE162C" w:rsidR="00F94CD0" w:rsidRDefault="00F94CD0" w:rsidP="00F94CD0">
      <w:pPr>
        <w:pStyle w:val="BodyText2"/>
        <w:spacing w:after="0" w:line="240" w:lineRule="auto"/>
        <w:rPr>
          <w:rFonts w:ascii="Times New Roman" w:hAnsi="Times New Roman"/>
          <w:b/>
          <w:sz w:val="24"/>
          <w:szCs w:val="24"/>
          <w:lang w:val="lv-LV"/>
        </w:rPr>
      </w:pPr>
    </w:p>
    <w:p w14:paraId="12D0A5E4" w14:textId="584456D0" w:rsidR="00F94CD0" w:rsidRDefault="000967A5" w:rsidP="00F94CD0">
      <w:pPr>
        <w:pStyle w:val="BodyText2"/>
        <w:spacing w:after="0" w:line="240" w:lineRule="auto"/>
        <w:ind w:firstLine="426"/>
        <w:jc w:val="both"/>
        <w:rPr>
          <w:rFonts w:ascii="Times New Roman" w:hAnsi="Times New Roman"/>
          <w:bCs/>
          <w:sz w:val="24"/>
          <w:szCs w:val="24"/>
          <w:lang w:val="lv-LV"/>
        </w:rPr>
      </w:pPr>
      <w:r w:rsidRPr="000967A5">
        <w:rPr>
          <w:rFonts w:ascii="Times New Roman" w:hAnsi="Times New Roman"/>
          <w:b/>
          <w:sz w:val="24"/>
          <w:szCs w:val="24"/>
          <w:lang w:val="lv-LV"/>
        </w:rPr>
        <w:t xml:space="preserve">Atkopjoties no Covid-19 krīzes, 2021.gadā ekonomika sāka atkal pieaugt. </w:t>
      </w:r>
      <w:r w:rsidRPr="000967A5">
        <w:rPr>
          <w:rFonts w:ascii="Times New Roman" w:hAnsi="Times New Roman"/>
          <w:bCs/>
          <w:sz w:val="24"/>
          <w:szCs w:val="24"/>
          <w:lang w:val="lv-LV"/>
        </w:rPr>
        <w:t xml:space="preserve">Apjomīgie valdības un ES fondu atbalsta pasākumi, kā arī epidemioloģiskās situācijas uzlabošanās veicināja Latvijas ekonomikas atveseļošanos, un IKP 2021.gadā pieauga par </w:t>
      </w:r>
      <w:r w:rsidRPr="00364D6C">
        <w:rPr>
          <w:rFonts w:ascii="Times New Roman" w:hAnsi="Times New Roman"/>
          <w:bCs/>
          <w:sz w:val="24"/>
          <w:szCs w:val="24"/>
          <w:lang w:val="lv-LV"/>
        </w:rPr>
        <w:t>4,3%.</w:t>
      </w:r>
    </w:p>
    <w:p w14:paraId="5BACEF15" w14:textId="1674D544" w:rsidR="006E40EF" w:rsidRDefault="006E40EF" w:rsidP="00F94CD0">
      <w:pPr>
        <w:pStyle w:val="BodyText2"/>
        <w:spacing w:after="0" w:line="240" w:lineRule="auto"/>
        <w:ind w:firstLine="426"/>
        <w:jc w:val="both"/>
        <w:rPr>
          <w:rFonts w:ascii="Times New Roman" w:hAnsi="Times New Roman"/>
          <w:bCs/>
          <w:sz w:val="24"/>
          <w:szCs w:val="24"/>
          <w:lang w:val="lv-LV"/>
        </w:rPr>
      </w:pPr>
      <w:r w:rsidRPr="006E40EF">
        <w:rPr>
          <w:rFonts w:ascii="Times New Roman" w:hAnsi="Times New Roman"/>
          <w:b/>
          <w:sz w:val="24"/>
          <w:szCs w:val="24"/>
          <w:lang w:val="lv-LV"/>
        </w:rPr>
        <w:t>Pēc Krievijas iebrukuma Ukrainā ekonomiskā izaugsme Latvijā 2022.gadā palēninājās līdz 2,8%.</w:t>
      </w:r>
      <w:r w:rsidRPr="006E40EF">
        <w:rPr>
          <w:rFonts w:ascii="Times New Roman" w:hAnsi="Times New Roman"/>
          <w:bCs/>
          <w:sz w:val="24"/>
          <w:szCs w:val="24"/>
          <w:lang w:val="lv-LV"/>
        </w:rPr>
        <w:t xml:space="preserve"> Ekonomikas attīstību 2022.gadā būtiski ietekmēja kara izraisītie piegāžu ķēžu pārrāvumi, energoresursu un pārtikas dārdzības izraisītais inflācijas kāpums, kā arī globālā pieprasījuma samazināšanās.</w:t>
      </w:r>
      <w:r w:rsidRPr="006E40EF">
        <w:rPr>
          <w:lang w:val="lv-LV"/>
        </w:rPr>
        <w:t xml:space="preserve"> </w:t>
      </w:r>
      <w:r w:rsidRPr="006E40EF">
        <w:rPr>
          <w:rFonts w:ascii="Times New Roman" w:hAnsi="Times New Roman"/>
          <w:bCs/>
          <w:sz w:val="24"/>
          <w:szCs w:val="24"/>
          <w:lang w:val="lv-LV"/>
        </w:rPr>
        <w:t>2022.gada 1.pusgadā vēl pilnā apmērā nebija jūtamas kara sekas. Ekonomika pieauga par 4,9%, salīdzinot ar 2021.gada 1.pusgadu. Kāpumu ietekmēja zemā bāze 2021.gada sākumā un pakāpeniska Covid-19 ierobežojumu atcelšana. Tomēr 2.pusgadā izaugsme gada griezumā samazinājās līdz 0,9%, pasliktinoties eksporta importa saldo bilancei un samazinoties privātā patēriņa un investīciju pieauguma tempiem.</w:t>
      </w:r>
    </w:p>
    <w:p w14:paraId="1B265584" w14:textId="40F4FD46" w:rsidR="006E40EF" w:rsidRDefault="006E40EF" w:rsidP="00F94CD0">
      <w:pPr>
        <w:pStyle w:val="BodyText2"/>
        <w:spacing w:after="0" w:line="240" w:lineRule="auto"/>
        <w:ind w:firstLine="426"/>
        <w:jc w:val="both"/>
        <w:rPr>
          <w:rFonts w:ascii="Times New Roman" w:hAnsi="Times New Roman"/>
          <w:bCs/>
          <w:sz w:val="24"/>
          <w:szCs w:val="24"/>
          <w:lang w:val="lv-LV"/>
        </w:rPr>
      </w:pPr>
      <w:r w:rsidRPr="006E40EF">
        <w:rPr>
          <w:rFonts w:ascii="Times New Roman" w:hAnsi="Times New Roman"/>
          <w:b/>
          <w:sz w:val="24"/>
          <w:szCs w:val="24"/>
          <w:lang w:val="lv-LV"/>
        </w:rPr>
        <w:t>2023.gadā ekonomikas attīstību turpina ietekmēt ģeopolitiskā situācija un nenoteiktība, augstās cenas un banku procentu likmju celšanās.</w:t>
      </w:r>
      <w:r w:rsidRPr="006E40EF">
        <w:rPr>
          <w:rFonts w:ascii="Times New Roman" w:hAnsi="Times New Roman"/>
          <w:bCs/>
          <w:sz w:val="24"/>
          <w:szCs w:val="24"/>
          <w:lang w:val="lv-LV"/>
        </w:rPr>
        <w:t xml:space="preserve"> 1.ceturksnī ekonomika  pieauga par 0,8%, bet jau 2.ceturksnī tā samazinājās par 0,5%. Šī gada 1.pusgadā IKP bija tikai par 0,1% lielāks nekā pirms gada.</w:t>
      </w:r>
    </w:p>
    <w:p w14:paraId="54A1FF79" w14:textId="4EE8BE87" w:rsidR="006E40EF" w:rsidRDefault="000967A5" w:rsidP="000D3CD8">
      <w:pPr>
        <w:pStyle w:val="BodyText2"/>
        <w:spacing w:before="120" w:after="0" w:line="240" w:lineRule="auto"/>
        <w:ind w:firstLine="425"/>
        <w:jc w:val="both"/>
        <w:rPr>
          <w:rFonts w:ascii="Times New Roman" w:hAnsi="Times New Roman"/>
          <w:b/>
          <w:sz w:val="24"/>
          <w:szCs w:val="24"/>
          <w:lang w:val="lv-LV"/>
        </w:rPr>
      </w:pPr>
      <w:r w:rsidRPr="000967A5">
        <w:rPr>
          <w:rFonts w:ascii="Times New Roman" w:hAnsi="Times New Roman"/>
          <w:b/>
          <w:sz w:val="24"/>
          <w:szCs w:val="24"/>
          <w:lang w:val="lv-LV"/>
        </w:rPr>
        <w:t xml:space="preserve">Cenu pieauguma tempi apsteidz algu kāpumu, negatīvi ietekmējot iedzīvotāju pirktspēju. </w:t>
      </w:r>
      <w:r w:rsidRPr="000967A5">
        <w:rPr>
          <w:rFonts w:ascii="Times New Roman" w:hAnsi="Times New Roman"/>
          <w:bCs/>
          <w:sz w:val="24"/>
          <w:szCs w:val="24"/>
          <w:lang w:val="lv-LV"/>
        </w:rPr>
        <w:t xml:space="preserve">Tomēr Covid-19 pandēmijas ierobežojumu bāzes efekta un situācijas uzlabošanās darba tirgū dēļ mājsaimniecību patēriņa dinamika </w:t>
      </w:r>
      <w:r>
        <w:rPr>
          <w:rFonts w:ascii="Times New Roman" w:hAnsi="Times New Roman"/>
          <w:bCs/>
          <w:sz w:val="24"/>
          <w:szCs w:val="24"/>
          <w:lang w:val="lv-LV"/>
        </w:rPr>
        <w:t xml:space="preserve">2021.gadā un </w:t>
      </w:r>
      <w:r w:rsidRPr="000967A5">
        <w:rPr>
          <w:rFonts w:ascii="Times New Roman" w:hAnsi="Times New Roman"/>
          <w:bCs/>
          <w:sz w:val="24"/>
          <w:szCs w:val="24"/>
          <w:lang w:val="lv-LV"/>
        </w:rPr>
        <w:t xml:space="preserve">2022.gadā saglabājās pozitīva - privātais patēriņš </w:t>
      </w:r>
      <w:r w:rsidR="004E0A2B">
        <w:rPr>
          <w:rFonts w:ascii="Times New Roman" w:hAnsi="Times New Roman"/>
          <w:bCs/>
          <w:sz w:val="24"/>
          <w:szCs w:val="24"/>
          <w:lang w:val="lv-LV"/>
        </w:rPr>
        <w:t xml:space="preserve">katrā gadā </w:t>
      </w:r>
      <w:r w:rsidRPr="000967A5">
        <w:rPr>
          <w:rFonts w:ascii="Times New Roman" w:hAnsi="Times New Roman"/>
          <w:bCs/>
          <w:sz w:val="24"/>
          <w:szCs w:val="24"/>
          <w:lang w:val="lv-LV"/>
        </w:rPr>
        <w:t xml:space="preserve">pieauga par 8,1%. </w:t>
      </w:r>
      <w:r>
        <w:rPr>
          <w:rFonts w:ascii="Times New Roman" w:hAnsi="Times New Roman"/>
          <w:bCs/>
          <w:sz w:val="24"/>
          <w:szCs w:val="24"/>
          <w:lang w:val="lv-LV"/>
        </w:rPr>
        <w:t>Savukārt</w:t>
      </w:r>
      <w:r w:rsidR="006E40EF" w:rsidRPr="000967A5">
        <w:rPr>
          <w:rFonts w:ascii="Times New Roman" w:hAnsi="Times New Roman"/>
          <w:bCs/>
          <w:sz w:val="24"/>
          <w:szCs w:val="24"/>
          <w:lang w:val="lv-LV"/>
        </w:rPr>
        <w:t xml:space="preserve"> </w:t>
      </w:r>
      <w:r w:rsidR="006E40EF" w:rsidRPr="006E40EF">
        <w:rPr>
          <w:rFonts w:ascii="Times New Roman" w:hAnsi="Times New Roman"/>
          <w:bCs/>
          <w:sz w:val="24"/>
          <w:szCs w:val="24"/>
          <w:lang w:val="lv-LV"/>
        </w:rPr>
        <w:t>2023.gada 1.pusgadā privātais patēriņš samazinājās par 0,5%. Īpaši straujš tā kritums bija vērojams 2.ceturksnī, kad tas bija par 1,2% mazāks nekā pirms gada.</w:t>
      </w:r>
    </w:p>
    <w:p w14:paraId="64A2AEA1" w14:textId="0BBD4E93" w:rsidR="00F94CD0" w:rsidRDefault="006E40EF" w:rsidP="00780BA5">
      <w:pPr>
        <w:pStyle w:val="BodyText2"/>
        <w:spacing w:before="120" w:after="0" w:line="240" w:lineRule="auto"/>
        <w:ind w:firstLine="425"/>
        <w:jc w:val="both"/>
        <w:rPr>
          <w:rFonts w:ascii="Times New Roman" w:hAnsi="Times New Roman"/>
          <w:bCs/>
          <w:sz w:val="24"/>
          <w:szCs w:val="24"/>
          <w:lang w:val="lv-LV"/>
        </w:rPr>
      </w:pPr>
      <w:r w:rsidRPr="007911D6">
        <w:rPr>
          <w:rFonts w:ascii="Times New Roman" w:hAnsi="Times New Roman"/>
          <w:b/>
          <w:sz w:val="24"/>
          <w:szCs w:val="24"/>
          <w:lang w:val="lv-LV"/>
        </w:rPr>
        <w:t>Valsts patēriņš turpina pieaugt lielā mērā uz valsts budžeta deficīta rēķina</w:t>
      </w:r>
      <w:r w:rsidRPr="006E40EF">
        <w:rPr>
          <w:rFonts w:ascii="Times New Roman" w:hAnsi="Times New Roman"/>
          <w:bCs/>
          <w:sz w:val="24"/>
          <w:szCs w:val="24"/>
          <w:lang w:val="lv-LV"/>
        </w:rPr>
        <w:t xml:space="preserve">, lai varētu finansēt valdības īstenotos atbalsta pasākumus Covid-19 negatīvās ietekmes un Ukrainas kara seku mazināšanai. </w:t>
      </w:r>
      <w:r w:rsidR="00DE1980">
        <w:rPr>
          <w:rFonts w:ascii="Times New Roman" w:hAnsi="Times New Roman"/>
          <w:bCs/>
          <w:sz w:val="24"/>
          <w:szCs w:val="24"/>
          <w:lang w:val="lv-LV"/>
        </w:rPr>
        <w:t xml:space="preserve">2021.gadā un </w:t>
      </w:r>
      <w:r w:rsidR="00DE1980" w:rsidRPr="00DE1980">
        <w:rPr>
          <w:rFonts w:ascii="Times New Roman" w:hAnsi="Times New Roman"/>
          <w:bCs/>
          <w:sz w:val="24"/>
          <w:szCs w:val="24"/>
          <w:lang w:val="lv-LV"/>
        </w:rPr>
        <w:t xml:space="preserve">2022.gadā valsts patēriņš pieauga </w:t>
      </w:r>
      <w:r w:rsidR="00DE1980">
        <w:rPr>
          <w:rFonts w:ascii="Times New Roman" w:hAnsi="Times New Roman"/>
          <w:bCs/>
          <w:sz w:val="24"/>
          <w:szCs w:val="24"/>
          <w:lang w:val="lv-LV"/>
        </w:rPr>
        <w:t xml:space="preserve">attiecīgi par 4,4% un </w:t>
      </w:r>
      <w:r w:rsidR="00DE1980" w:rsidRPr="00DE1980">
        <w:rPr>
          <w:rFonts w:ascii="Times New Roman" w:hAnsi="Times New Roman"/>
          <w:bCs/>
          <w:sz w:val="24"/>
          <w:szCs w:val="24"/>
          <w:lang w:val="lv-LV"/>
        </w:rPr>
        <w:t>2,8%.</w:t>
      </w:r>
      <w:r w:rsidR="00DE1980">
        <w:rPr>
          <w:rFonts w:ascii="Times New Roman" w:hAnsi="Times New Roman"/>
          <w:bCs/>
          <w:sz w:val="24"/>
          <w:szCs w:val="24"/>
          <w:lang w:val="lv-LV"/>
        </w:rPr>
        <w:t xml:space="preserve"> </w:t>
      </w:r>
      <w:r w:rsidRPr="006E40EF">
        <w:rPr>
          <w:rFonts w:ascii="Times New Roman" w:hAnsi="Times New Roman"/>
          <w:bCs/>
          <w:sz w:val="24"/>
          <w:szCs w:val="24"/>
          <w:lang w:val="lv-LV"/>
        </w:rPr>
        <w:t>2023.gada 1.pusgadā valsts patēriņš pieauga par 6,3%.</w:t>
      </w:r>
    </w:p>
    <w:p w14:paraId="50E70D0D" w14:textId="2646EACE" w:rsidR="000940B9" w:rsidRDefault="007911D6" w:rsidP="00D0270C">
      <w:pPr>
        <w:pStyle w:val="BodyText2"/>
        <w:spacing w:before="120" w:after="0" w:line="240" w:lineRule="auto"/>
        <w:ind w:firstLine="425"/>
        <w:jc w:val="both"/>
        <w:rPr>
          <w:rFonts w:ascii="Times New Roman" w:hAnsi="Times New Roman"/>
          <w:b/>
          <w:sz w:val="24"/>
          <w:szCs w:val="24"/>
          <w:lang w:val="lv-LV"/>
        </w:rPr>
      </w:pPr>
      <w:r w:rsidRPr="007911D6">
        <w:rPr>
          <w:rFonts w:ascii="Times New Roman" w:hAnsi="Times New Roman"/>
          <w:b/>
          <w:sz w:val="24"/>
          <w:szCs w:val="24"/>
          <w:lang w:val="lv-LV"/>
        </w:rPr>
        <w:t xml:space="preserve">Ģeopolitiskā nenoteiktība ietekmē investīcijas. </w:t>
      </w:r>
      <w:r w:rsidR="000940B9" w:rsidRPr="000940B9">
        <w:rPr>
          <w:rFonts w:ascii="Times New Roman" w:hAnsi="Times New Roman"/>
          <w:bCs/>
          <w:sz w:val="24"/>
          <w:szCs w:val="24"/>
          <w:lang w:val="lv-LV"/>
        </w:rPr>
        <w:t xml:space="preserve">Pēc kāpuma 2021.gadā par 2,9%, </w:t>
      </w:r>
      <w:r w:rsidRPr="000940B9">
        <w:rPr>
          <w:rFonts w:ascii="Times New Roman" w:hAnsi="Times New Roman"/>
          <w:bCs/>
          <w:sz w:val="24"/>
          <w:szCs w:val="24"/>
          <w:lang w:val="lv-LV"/>
        </w:rPr>
        <w:t xml:space="preserve">2022.gadā ieguldījumi bruto pamatkapitāla veidošanā pieauga tikai par 0,7%. Straujo izmaksu pieauguma dēļ investīcijas </w:t>
      </w:r>
      <w:r w:rsidR="000940B9">
        <w:rPr>
          <w:rFonts w:ascii="Times New Roman" w:hAnsi="Times New Roman"/>
          <w:bCs/>
          <w:sz w:val="24"/>
          <w:szCs w:val="24"/>
          <w:lang w:val="lv-LV"/>
        </w:rPr>
        <w:t xml:space="preserve">strauji samazinājās </w:t>
      </w:r>
      <w:r w:rsidRPr="000940B9">
        <w:rPr>
          <w:rFonts w:ascii="Times New Roman" w:hAnsi="Times New Roman"/>
          <w:bCs/>
          <w:sz w:val="24"/>
          <w:szCs w:val="24"/>
          <w:lang w:val="lv-LV"/>
        </w:rPr>
        <w:t xml:space="preserve">ēkās un būvēs. Tajā pašā laikā ieguldījumi </w:t>
      </w:r>
      <w:r w:rsidR="00834BAF">
        <w:rPr>
          <w:rFonts w:ascii="Times New Roman" w:hAnsi="Times New Roman"/>
          <w:bCs/>
          <w:sz w:val="24"/>
          <w:szCs w:val="24"/>
          <w:lang w:val="lv-LV"/>
        </w:rPr>
        <w:t xml:space="preserve">strauji </w:t>
      </w:r>
      <w:r w:rsidR="000940B9" w:rsidRPr="000940B9">
        <w:rPr>
          <w:rFonts w:ascii="Times New Roman" w:hAnsi="Times New Roman"/>
          <w:bCs/>
          <w:sz w:val="24"/>
          <w:szCs w:val="24"/>
          <w:lang w:val="lv-LV"/>
        </w:rPr>
        <w:t xml:space="preserve">palielinājās </w:t>
      </w:r>
      <w:r w:rsidRPr="000940B9">
        <w:rPr>
          <w:rFonts w:ascii="Times New Roman" w:hAnsi="Times New Roman"/>
          <w:bCs/>
          <w:sz w:val="24"/>
          <w:szCs w:val="24"/>
          <w:lang w:val="lv-LV"/>
        </w:rPr>
        <w:t>mašīnās un iekārtās un intelektuālā īpašuma produktos.</w:t>
      </w:r>
      <w:r w:rsidR="000940B9" w:rsidRPr="000940B9">
        <w:rPr>
          <w:lang w:val="lv-LV"/>
        </w:rPr>
        <w:t xml:space="preserve"> </w:t>
      </w:r>
      <w:r w:rsidR="000940B9" w:rsidRPr="000940B9">
        <w:rPr>
          <w:rFonts w:ascii="Times New Roman" w:hAnsi="Times New Roman"/>
          <w:bCs/>
          <w:sz w:val="24"/>
          <w:szCs w:val="24"/>
          <w:lang w:val="lv-LV"/>
        </w:rPr>
        <w:t>Investīciju aktivitātes ierobežoja arī ES finansētās programmas kavēšanās.</w:t>
      </w:r>
      <w:r>
        <w:rPr>
          <w:rFonts w:ascii="Times New Roman" w:hAnsi="Times New Roman"/>
          <w:b/>
          <w:sz w:val="24"/>
          <w:szCs w:val="24"/>
          <w:lang w:val="lv-LV"/>
        </w:rPr>
        <w:t xml:space="preserve"> </w:t>
      </w:r>
    </w:p>
    <w:p w14:paraId="50123007" w14:textId="208004D3" w:rsidR="00F94CD0" w:rsidRDefault="00780BA5" w:rsidP="000940B9">
      <w:pPr>
        <w:pStyle w:val="BodyText2"/>
        <w:spacing w:after="0" w:line="240" w:lineRule="auto"/>
        <w:ind w:firstLine="425"/>
        <w:jc w:val="both"/>
        <w:rPr>
          <w:rFonts w:ascii="Times New Roman" w:hAnsi="Times New Roman"/>
          <w:bCs/>
          <w:sz w:val="24"/>
          <w:szCs w:val="24"/>
          <w:lang w:val="lv-LV"/>
        </w:rPr>
      </w:pPr>
      <w:r>
        <w:rPr>
          <w:rFonts w:ascii="Times New Roman" w:hAnsi="Times New Roman"/>
          <w:bCs/>
          <w:sz w:val="24"/>
          <w:szCs w:val="24"/>
          <w:lang w:val="lv-LV"/>
        </w:rPr>
        <w:t xml:space="preserve">Neskatoties uz ģeopolitisko nenoteiktību, </w:t>
      </w:r>
      <w:r w:rsidR="000940B9" w:rsidRPr="00780BA5">
        <w:rPr>
          <w:rFonts w:ascii="Times New Roman" w:hAnsi="Times New Roman"/>
          <w:bCs/>
          <w:sz w:val="24"/>
          <w:szCs w:val="24"/>
          <w:lang w:val="lv-LV"/>
        </w:rPr>
        <w:t>2023.gadā</w:t>
      </w:r>
      <w:r w:rsidR="006E40EF" w:rsidRPr="00780BA5">
        <w:rPr>
          <w:rFonts w:ascii="Times New Roman" w:hAnsi="Times New Roman"/>
          <w:bCs/>
          <w:sz w:val="24"/>
          <w:szCs w:val="24"/>
          <w:lang w:val="lv-LV"/>
        </w:rPr>
        <w:t xml:space="preserve"> investīcijas </w:t>
      </w:r>
      <w:r w:rsidRPr="00780BA5">
        <w:rPr>
          <w:rFonts w:ascii="Times New Roman" w:hAnsi="Times New Roman"/>
          <w:bCs/>
          <w:sz w:val="24"/>
          <w:szCs w:val="24"/>
          <w:lang w:val="lv-LV"/>
        </w:rPr>
        <w:t xml:space="preserve">pieaug </w:t>
      </w:r>
      <w:r w:rsidR="000940B9" w:rsidRPr="00780BA5">
        <w:rPr>
          <w:rFonts w:ascii="Times New Roman" w:hAnsi="Times New Roman"/>
          <w:bCs/>
          <w:sz w:val="24"/>
          <w:szCs w:val="24"/>
          <w:lang w:val="lv-LV"/>
        </w:rPr>
        <w:t>strauji</w:t>
      </w:r>
      <w:r w:rsidR="006E40EF" w:rsidRPr="00780BA5">
        <w:rPr>
          <w:rFonts w:ascii="Times New Roman" w:hAnsi="Times New Roman"/>
          <w:bCs/>
          <w:sz w:val="24"/>
          <w:szCs w:val="24"/>
          <w:lang w:val="lv-LV"/>
        </w:rPr>
        <w:t>.</w:t>
      </w:r>
      <w:r w:rsidR="006E40EF" w:rsidRPr="006E40EF">
        <w:rPr>
          <w:rFonts w:ascii="Times New Roman" w:hAnsi="Times New Roman"/>
          <w:b/>
          <w:sz w:val="24"/>
          <w:szCs w:val="24"/>
          <w:lang w:val="lv-LV"/>
        </w:rPr>
        <w:t xml:space="preserve"> </w:t>
      </w:r>
      <w:r w:rsidR="006E40EF" w:rsidRPr="006E40EF">
        <w:rPr>
          <w:rFonts w:ascii="Times New Roman" w:hAnsi="Times New Roman"/>
          <w:bCs/>
          <w:sz w:val="24"/>
          <w:szCs w:val="24"/>
          <w:lang w:val="lv-LV"/>
        </w:rPr>
        <w:t>Pateicoties Eiropas Savienības fondu finansējuma pieaugumam, 2023.gadā 1.pusgadā ieguldījumi bruto pamatkapitāla veidošanā bija par 7,8% augstāki nekā pirms gada. Mājokļos, ēkās un būvēs investīcijas gada griezumā pieauga par 16,3%, savukārt ieguldījumi mašīnās un iekārtās pieauga vien par 1,1%, bet ieguldījumi intelektuālā īpašuma produktos – par 1,4%.</w:t>
      </w:r>
    </w:p>
    <w:p w14:paraId="6508B7E6" w14:textId="0BC703F0" w:rsidR="000940B9" w:rsidRDefault="00EA06F6" w:rsidP="00D0270C">
      <w:pPr>
        <w:pStyle w:val="BodyText2"/>
        <w:spacing w:before="120" w:after="0" w:line="240" w:lineRule="auto"/>
        <w:ind w:firstLine="425"/>
        <w:jc w:val="both"/>
        <w:rPr>
          <w:rFonts w:ascii="Times New Roman" w:hAnsi="Times New Roman"/>
          <w:b/>
          <w:sz w:val="24"/>
          <w:szCs w:val="24"/>
          <w:lang w:val="lv-LV"/>
        </w:rPr>
      </w:pPr>
      <w:r w:rsidRPr="00EA06F6">
        <w:rPr>
          <w:rFonts w:ascii="Times New Roman" w:hAnsi="Times New Roman"/>
          <w:b/>
          <w:sz w:val="24"/>
          <w:szCs w:val="24"/>
          <w:lang w:val="lv-LV"/>
        </w:rPr>
        <w:t xml:space="preserve">Eksportam </w:t>
      </w:r>
      <w:r w:rsidR="00834BAF">
        <w:rPr>
          <w:rFonts w:ascii="Times New Roman" w:hAnsi="Times New Roman"/>
          <w:b/>
          <w:sz w:val="24"/>
          <w:szCs w:val="24"/>
          <w:lang w:val="lv-LV"/>
        </w:rPr>
        <w:t>ir</w:t>
      </w:r>
      <w:r w:rsidRPr="00EA06F6">
        <w:rPr>
          <w:rFonts w:ascii="Times New Roman" w:hAnsi="Times New Roman"/>
          <w:b/>
          <w:sz w:val="24"/>
          <w:szCs w:val="24"/>
          <w:lang w:val="lv-LV"/>
        </w:rPr>
        <w:t xml:space="preserve"> nozīmīga loma izaugsmes nodrošināšanā. </w:t>
      </w:r>
      <w:r w:rsidRPr="00EA06F6">
        <w:rPr>
          <w:rFonts w:ascii="Times New Roman" w:hAnsi="Times New Roman"/>
          <w:bCs/>
          <w:sz w:val="24"/>
          <w:szCs w:val="24"/>
          <w:lang w:val="lv-LV"/>
        </w:rPr>
        <w:t>2021.gadā pateicoties straujam ārējam pieprasījumam, gan arī daļēji bāzes efekta dēļ, eksports atsāka augt – kopumā gada laikā par 5,9%.</w:t>
      </w:r>
      <w:r>
        <w:rPr>
          <w:rFonts w:ascii="Times New Roman" w:hAnsi="Times New Roman"/>
          <w:b/>
          <w:sz w:val="24"/>
          <w:szCs w:val="24"/>
          <w:lang w:val="lv-LV"/>
        </w:rPr>
        <w:t xml:space="preserve"> </w:t>
      </w:r>
      <w:r w:rsidR="00834BAF" w:rsidRPr="00EA06F6">
        <w:rPr>
          <w:rFonts w:ascii="Times New Roman" w:hAnsi="Times New Roman"/>
          <w:bCs/>
          <w:sz w:val="24"/>
          <w:szCs w:val="24"/>
          <w:lang w:val="lv-LV"/>
        </w:rPr>
        <w:t xml:space="preserve">2022.gadā </w:t>
      </w:r>
      <w:r w:rsidR="00834BAF">
        <w:rPr>
          <w:rFonts w:ascii="Times New Roman" w:hAnsi="Times New Roman"/>
          <w:bCs/>
          <w:sz w:val="24"/>
          <w:szCs w:val="24"/>
          <w:lang w:val="lv-LV"/>
        </w:rPr>
        <w:t>p</w:t>
      </w:r>
      <w:r w:rsidRPr="00EA06F6">
        <w:rPr>
          <w:rFonts w:ascii="Times New Roman" w:hAnsi="Times New Roman"/>
          <w:bCs/>
          <w:sz w:val="24"/>
          <w:szCs w:val="24"/>
          <w:lang w:val="lv-LV"/>
        </w:rPr>
        <w:t>reču un pakalpojumu eksporta apjomi pieauga par 9,1%. Ņemot vērā Covid-19 pandēmijas ierobežojumu atcelšanu, strauji atkop</w:t>
      </w:r>
      <w:r>
        <w:rPr>
          <w:rFonts w:ascii="Times New Roman" w:hAnsi="Times New Roman"/>
          <w:bCs/>
          <w:sz w:val="24"/>
          <w:szCs w:val="24"/>
          <w:lang w:val="lv-LV"/>
        </w:rPr>
        <w:t>ā</w:t>
      </w:r>
      <w:r w:rsidRPr="00EA06F6">
        <w:rPr>
          <w:rFonts w:ascii="Times New Roman" w:hAnsi="Times New Roman"/>
          <w:bCs/>
          <w:sz w:val="24"/>
          <w:szCs w:val="24"/>
          <w:lang w:val="lv-LV"/>
        </w:rPr>
        <w:t xml:space="preserve">s pakalpojumu eksports, kas 2022.gadā bija par 20% lielāks nekā pirms gada. 2022.gadā strauji auga transporta pakalpojumu, </w:t>
      </w:r>
      <w:proofErr w:type="spellStart"/>
      <w:r w:rsidRPr="00EA06F6">
        <w:rPr>
          <w:rFonts w:ascii="Times New Roman" w:hAnsi="Times New Roman"/>
          <w:bCs/>
          <w:sz w:val="24"/>
          <w:szCs w:val="24"/>
          <w:lang w:val="lv-LV"/>
        </w:rPr>
        <w:t>datorpakalpojumu</w:t>
      </w:r>
      <w:proofErr w:type="spellEnd"/>
      <w:r w:rsidRPr="00EA06F6">
        <w:rPr>
          <w:rFonts w:ascii="Times New Roman" w:hAnsi="Times New Roman"/>
          <w:bCs/>
          <w:sz w:val="24"/>
          <w:szCs w:val="24"/>
          <w:lang w:val="lv-LV"/>
        </w:rPr>
        <w:t xml:space="preserve"> un citas saimnieciskās darbības pakalpojumu eksports. Preču </w:t>
      </w:r>
      <w:r w:rsidRPr="00EA06F6">
        <w:rPr>
          <w:rFonts w:ascii="Times New Roman" w:hAnsi="Times New Roman"/>
          <w:bCs/>
          <w:sz w:val="24"/>
          <w:szCs w:val="24"/>
          <w:lang w:val="lv-LV"/>
        </w:rPr>
        <w:lastRenderedPageBreak/>
        <w:t>eksports 2022.gadā pieauga par 5,6%. Galvenās eksporta preces bija koks un koka izstrādājumi, elektroierīces un elektroiekārtas. Straujākos tempos nekā eksports 2022.gadā palielinājās importa apjomi (par 11,6%) un eksporta-importa saldo faktiskajās cenās bija negatīvs – 5,</w:t>
      </w:r>
      <w:r w:rsidR="00834BAF">
        <w:rPr>
          <w:rFonts w:ascii="Times New Roman" w:hAnsi="Times New Roman"/>
          <w:bCs/>
          <w:sz w:val="24"/>
          <w:szCs w:val="24"/>
          <w:lang w:val="lv-LV"/>
        </w:rPr>
        <w:t>8</w:t>
      </w:r>
      <w:r w:rsidRPr="00EA06F6">
        <w:rPr>
          <w:rFonts w:ascii="Times New Roman" w:hAnsi="Times New Roman"/>
          <w:bCs/>
          <w:sz w:val="24"/>
          <w:szCs w:val="24"/>
          <w:lang w:val="lv-LV"/>
        </w:rPr>
        <w:t>% no IKP.</w:t>
      </w:r>
    </w:p>
    <w:p w14:paraId="1B5CDB44" w14:textId="6C8ED4A9" w:rsidR="00F94CD0" w:rsidRDefault="00EA06F6" w:rsidP="00EA06F6">
      <w:pPr>
        <w:pStyle w:val="BodyText2"/>
        <w:spacing w:after="0" w:line="240" w:lineRule="auto"/>
        <w:ind w:firstLine="425"/>
        <w:jc w:val="both"/>
        <w:rPr>
          <w:rFonts w:ascii="Times New Roman" w:hAnsi="Times New Roman"/>
          <w:bCs/>
          <w:sz w:val="24"/>
          <w:szCs w:val="24"/>
          <w:lang w:val="lv-LV"/>
        </w:rPr>
      </w:pPr>
      <w:r w:rsidRPr="00780BA5">
        <w:rPr>
          <w:rFonts w:ascii="Times New Roman" w:hAnsi="Times New Roman"/>
          <w:bCs/>
          <w:sz w:val="24"/>
          <w:szCs w:val="24"/>
          <w:lang w:val="lv-LV"/>
        </w:rPr>
        <w:t>2023.gadā s</w:t>
      </w:r>
      <w:r w:rsidR="006E40EF" w:rsidRPr="00780BA5">
        <w:rPr>
          <w:rFonts w:ascii="Times New Roman" w:hAnsi="Times New Roman"/>
          <w:bCs/>
          <w:sz w:val="24"/>
          <w:szCs w:val="24"/>
          <w:lang w:val="lv-LV"/>
        </w:rPr>
        <w:t>ituācija ārējā vidē nelabvēlīgi ietekmē ārējo tirdzniecību.</w:t>
      </w:r>
      <w:r w:rsidR="006E40EF" w:rsidRPr="006E40EF">
        <w:rPr>
          <w:rFonts w:ascii="Times New Roman" w:hAnsi="Times New Roman"/>
          <w:b/>
          <w:sz w:val="24"/>
          <w:szCs w:val="24"/>
          <w:lang w:val="lv-LV"/>
        </w:rPr>
        <w:t xml:space="preserve"> </w:t>
      </w:r>
      <w:r w:rsidR="006E40EF" w:rsidRPr="006E40EF">
        <w:rPr>
          <w:rFonts w:ascii="Times New Roman" w:hAnsi="Times New Roman"/>
          <w:bCs/>
          <w:sz w:val="24"/>
          <w:szCs w:val="24"/>
          <w:lang w:val="lv-LV"/>
        </w:rPr>
        <w:t xml:space="preserve">Preču un pakalpojumu eksporta apjomi 2023.gada 1.pusgadā bija par 1,2% mazāki nekā pirms gada. Preču eksporta apjomi saruka par 3,8%. Galvenās eksporta preces 1.pusgadā bija koks un koka izstrādājumi, mehānismi un mehāniskas ierīces, kā arī elektroierīces un elektroiekārtas. Turpina no Covid-19 pandēmijas atkopties pakalpojumu eksports, kas 1.pusgadā bija par 6,8% lielāks nekā pirms gada. Pieaugumu sekmēja gaisa transporta pakalpojumu, kā arī profesionālo un tehnisko saimnieciskās darbības pakalpojumu un </w:t>
      </w:r>
      <w:proofErr w:type="spellStart"/>
      <w:r w:rsidR="006E40EF" w:rsidRPr="006E40EF">
        <w:rPr>
          <w:rFonts w:ascii="Times New Roman" w:hAnsi="Times New Roman"/>
          <w:bCs/>
          <w:sz w:val="24"/>
          <w:szCs w:val="24"/>
          <w:lang w:val="lv-LV"/>
        </w:rPr>
        <w:t>datorpakalpojumu</w:t>
      </w:r>
      <w:proofErr w:type="spellEnd"/>
      <w:r w:rsidR="006E40EF" w:rsidRPr="006E40EF">
        <w:rPr>
          <w:rFonts w:ascii="Times New Roman" w:hAnsi="Times New Roman"/>
          <w:bCs/>
          <w:sz w:val="24"/>
          <w:szCs w:val="24"/>
          <w:lang w:val="lv-LV"/>
        </w:rPr>
        <w:t xml:space="preserve"> eksports. Jāatzīmē, ka preču un pakalpojumu importa apjomi 1.pusgadā samazinājās mazāk nekā eksports – par 0,1% un eksporta-importa saldo faktiskajās cenās bija </w:t>
      </w:r>
      <w:r w:rsidR="006E40EF" w:rsidRPr="00A4278B">
        <w:rPr>
          <w:rFonts w:ascii="Times New Roman" w:hAnsi="Times New Roman"/>
          <w:bCs/>
          <w:sz w:val="24"/>
          <w:szCs w:val="24"/>
          <w:lang w:val="lv-LV"/>
        </w:rPr>
        <w:t>-</w:t>
      </w:r>
      <w:r w:rsidR="005A4028">
        <w:rPr>
          <w:rFonts w:ascii="Times New Roman" w:hAnsi="Times New Roman"/>
          <w:bCs/>
          <w:sz w:val="24"/>
          <w:szCs w:val="24"/>
          <w:lang w:val="lv-LV"/>
        </w:rPr>
        <w:t xml:space="preserve"> </w:t>
      </w:r>
      <w:r w:rsidR="00A4278B" w:rsidRPr="00A4278B">
        <w:rPr>
          <w:rFonts w:ascii="Times New Roman" w:hAnsi="Times New Roman"/>
          <w:bCs/>
          <w:sz w:val="24"/>
          <w:szCs w:val="24"/>
          <w:lang w:val="lv-LV"/>
        </w:rPr>
        <w:t>4,5</w:t>
      </w:r>
      <w:r w:rsidR="006E40EF" w:rsidRPr="00A4278B">
        <w:rPr>
          <w:rFonts w:ascii="Times New Roman" w:hAnsi="Times New Roman"/>
          <w:bCs/>
          <w:sz w:val="24"/>
          <w:szCs w:val="24"/>
          <w:lang w:val="lv-LV"/>
        </w:rPr>
        <w:t>%</w:t>
      </w:r>
      <w:r w:rsidR="006E40EF" w:rsidRPr="006E40EF">
        <w:rPr>
          <w:rFonts w:ascii="Times New Roman" w:hAnsi="Times New Roman"/>
          <w:bCs/>
          <w:sz w:val="24"/>
          <w:szCs w:val="24"/>
          <w:lang w:val="lv-LV"/>
        </w:rPr>
        <w:t xml:space="preserve"> no IKP.</w:t>
      </w:r>
      <w:r w:rsidR="00F94CD0" w:rsidRPr="00F94CD0">
        <w:rPr>
          <w:rFonts w:ascii="Times New Roman" w:hAnsi="Times New Roman"/>
          <w:bCs/>
          <w:sz w:val="24"/>
          <w:szCs w:val="24"/>
          <w:lang w:val="lv-LV"/>
        </w:rPr>
        <w:t xml:space="preserve"> </w:t>
      </w:r>
    </w:p>
    <w:p w14:paraId="23A093F8" w14:textId="7F19DEBD" w:rsidR="00EA06F6" w:rsidRDefault="00F94CD0" w:rsidP="00D0270C">
      <w:pPr>
        <w:pStyle w:val="BodyText2"/>
        <w:spacing w:before="120" w:after="0" w:line="240" w:lineRule="auto"/>
        <w:ind w:firstLine="425"/>
        <w:jc w:val="both"/>
        <w:rPr>
          <w:rFonts w:ascii="Times New Roman" w:hAnsi="Times New Roman"/>
          <w:bCs/>
          <w:sz w:val="24"/>
          <w:szCs w:val="24"/>
          <w:lang w:val="lv-LV"/>
        </w:rPr>
      </w:pPr>
      <w:r w:rsidRPr="003655F1">
        <w:rPr>
          <w:rFonts w:ascii="Times New Roman" w:hAnsi="Times New Roman"/>
          <w:b/>
          <w:sz w:val="24"/>
          <w:szCs w:val="24"/>
          <w:lang w:val="lv-LV"/>
        </w:rPr>
        <w:t>Nozaru griezumā attīstības tendences ir ļoti atšķirīgas.</w:t>
      </w:r>
      <w:r w:rsidRPr="00F94CD0">
        <w:rPr>
          <w:rFonts w:ascii="Times New Roman" w:hAnsi="Times New Roman"/>
          <w:bCs/>
          <w:sz w:val="24"/>
          <w:szCs w:val="24"/>
          <w:lang w:val="lv-LV"/>
        </w:rPr>
        <w:t xml:space="preserve"> </w:t>
      </w:r>
      <w:r w:rsidR="00EA06F6" w:rsidRPr="00EA06F6">
        <w:rPr>
          <w:rFonts w:ascii="Times New Roman" w:hAnsi="Times New Roman"/>
          <w:bCs/>
          <w:sz w:val="24"/>
          <w:szCs w:val="24"/>
          <w:lang w:val="lv-LV"/>
        </w:rPr>
        <w:t xml:space="preserve">Lai arī kopumā 2021.gadā IKP nedaudz pārsniedza </w:t>
      </w:r>
      <w:proofErr w:type="spellStart"/>
      <w:r w:rsidR="00EA06F6" w:rsidRPr="00EA06F6">
        <w:rPr>
          <w:rFonts w:ascii="Times New Roman" w:hAnsi="Times New Roman"/>
          <w:bCs/>
          <w:sz w:val="24"/>
          <w:szCs w:val="24"/>
          <w:lang w:val="lv-LV"/>
        </w:rPr>
        <w:t>pirmskrīzes</w:t>
      </w:r>
      <w:proofErr w:type="spellEnd"/>
      <w:r w:rsidR="00EA06F6" w:rsidRPr="00EA06F6">
        <w:rPr>
          <w:rFonts w:ascii="Times New Roman" w:hAnsi="Times New Roman"/>
          <w:bCs/>
          <w:sz w:val="24"/>
          <w:szCs w:val="24"/>
          <w:lang w:val="lv-LV"/>
        </w:rPr>
        <w:t xml:space="preserve"> 2019.gada līmeni, vairākās nozarēs ekonomiskā aktivitāte bija krietni zem šī līmeņa</w:t>
      </w:r>
      <w:r w:rsidR="00EA06F6">
        <w:rPr>
          <w:rFonts w:ascii="Times New Roman" w:hAnsi="Times New Roman"/>
          <w:bCs/>
          <w:sz w:val="24"/>
          <w:szCs w:val="24"/>
          <w:lang w:val="lv-LV"/>
        </w:rPr>
        <w:t>,</w:t>
      </w:r>
      <w:r w:rsidR="00EA06F6" w:rsidRPr="00EA06F6">
        <w:rPr>
          <w:rFonts w:ascii="Times New Roman" w:hAnsi="Times New Roman"/>
          <w:bCs/>
          <w:sz w:val="24"/>
          <w:szCs w:val="24"/>
          <w:lang w:val="lv-LV"/>
        </w:rPr>
        <w:t xml:space="preserve"> </w:t>
      </w:r>
      <w:r w:rsidR="00EA06F6">
        <w:rPr>
          <w:rFonts w:ascii="Times New Roman" w:hAnsi="Times New Roman"/>
          <w:bCs/>
          <w:sz w:val="24"/>
          <w:szCs w:val="24"/>
          <w:lang w:val="lv-LV"/>
        </w:rPr>
        <w:t>kā</w:t>
      </w:r>
      <w:r w:rsidR="00EA06F6" w:rsidRPr="00EA06F6">
        <w:rPr>
          <w:rFonts w:ascii="Times New Roman" w:hAnsi="Times New Roman"/>
          <w:bCs/>
          <w:sz w:val="24"/>
          <w:szCs w:val="24"/>
          <w:lang w:val="lv-LV"/>
        </w:rPr>
        <w:t xml:space="preserve"> izmitināšana</w:t>
      </w:r>
      <w:r w:rsidR="00EA06F6">
        <w:rPr>
          <w:rFonts w:ascii="Times New Roman" w:hAnsi="Times New Roman"/>
          <w:bCs/>
          <w:sz w:val="24"/>
          <w:szCs w:val="24"/>
          <w:lang w:val="lv-LV"/>
        </w:rPr>
        <w:t>s</w:t>
      </w:r>
      <w:r w:rsidR="00EA06F6" w:rsidRPr="00EA06F6">
        <w:rPr>
          <w:rFonts w:ascii="Times New Roman" w:hAnsi="Times New Roman"/>
          <w:bCs/>
          <w:sz w:val="24"/>
          <w:szCs w:val="24"/>
          <w:lang w:val="lv-LV"/>
        </w:rPr>
        <w:t xml:space="preserve"> un ēdināšanas pakalpojumi, mākslas, izklaides atpūtas pakalpojumi</w:t>
      </w:r>
      <w:r w:rsidR="00EA06F6">
        <w:rPr>
          <w:rFonts w:ascii="Times New Roman" w:hAnsi="Times New Roman"/>
          <w:bCs/>
          <w:sz w:val="24"/>
          <w:szCs w:val="24"/>
          <w:lang w:val="lv-LV"/>
        </w:rPr>
        <w:t xml:space="preserve">, </w:t>
      </w:r>
      <w:r w:rsidR="00EA06F6" w:rsidRPr="00EA06F6">
        <w:rPr>
          <w:rFonts w:ascii="Times New Roman" w:hAnsi="Times New Roman"/>
          <w:bCs/>
          <w:sz w:val="24"/>
          <w:szCs w:val="24"/>
          <w:lang w:val="lv-LV"/>
        </w:rPr>
        <w:t>transports un uzglabāšana, lauksaimniecība un mežsaimniecība un būvniecība. Savukārt lielākie pieaugumi šajā periodā bija vērojami veselības aprūpes, valsts pārvaldes un finanšu pakalpojumu nozarēs, kā arī enerģētikas nozarē. Labs pieaugums bija arī apstrādes rūpniecībā.</w:t>
      </w:r>
    </w:p>
    <w:p w14:paraId="4A9C31CD" w14:textId="79A19B34" w:rsidR="00F94CD0" w:rsidRPr="00F94CD0" w:rsidRDefault="006E40EF" w:rsidP="00EA06F6">
      <w:pPr>
        <w:pStyle w:val="BodyText2"/>
        <w:spacing w:after="0" w:line="240" w:lineRule="auto"/>
        <w:ind w:firstLine="425"/>
        <w:jc w:val="both"/>
        <w:rPr>
          <w:rFonts w:ascii="Times New Roman" w:hAnsi="Times New Roman"/>
          <w:bCs/>
          <w:sz w:val="24"/>
          <w:szCs w:val="24"/>
          <w:lang w:val="lv-LV"/>
        </w:rPr>
      </w:pPr>
      <w:r w:rsidRPr="006E40EF">
        <w:rPr>
          <w:rFonts w:ascii="Times New Roman" w:hAnsi="Times New Roman"/>
          <w:bCs/>
          <w:sz w:val="24"/>
          <w:szCs w:val="24"/>
          <w:lang w:val="lv-LV"/>
        </w:rPr>
        <w:t xml:space="preserve">2022.gadā </w:t>
      </w:r>
      <w:r w:rsidR="00EA06F6">
        <w:rPr>
          <w:rFonts w:ascii="Times New Roman" w:hAnsi="Times New Roman"/>
          <w:bCs/>
          <w:sz w:val="24"/>
          <w:szCs w:val="24"/>
          <w:lang w:val="lv-LV"/>
        </w:rPr>
        <w:t>s</w:t>
      </w:r>
      <w:r w:rsidR="00EA06F6" w:rsidRPr="006E40EF">
        <w:rPr>
          <w:rFonts w:ascii="Times New Roman" w:hAnsi="Times New Roman"/>
          <w:bCs/>
          <w:sz w:val="24"/>
          <w:szCs w:val="24"/>
          <w:lang w:val="lv-LV"/>
        </w:rPr>
        <w:t xml:space="preserve">trauji pieauguma tempi </w:t>
      </w:r>
      <w:r w:rsidR="00EA06F6">
        <w:rPr>
          <w:rFonts w:ascii="Times New Roman" w:hAnsi="Times New Roman"/>
          <w:bCs/>
          <w:sz w:val="24"/>
          <w:szCs w:val="24"/>
          <w:lang w:val="lv-LV"/>
        </w:rPr>
        <w:t>bija</w:t>
      </w:r>
      <w:r w:rsidRPr="006E40EF">
        <w:rPr>
          <w:rFonts w:ascii="Times New Roman" w:hAnsi="Times New Roman"/>
          <w:bCs/>
          <w:sz w:val="24"/>
          <w:szCs w:val="24"/>
          <w:lang w:val="lv-LV"/>
        </w:rPr>
        <w:t xml:space="preserve"> nozarēs, kuras vissmagāk skāra Covid-19 pandēmijas ierobežojumi. Neraugoties uz izmaksu pieaugumu, traucējumiem piegāžu ķēdēs un lielo nenoteiktību, pozitīva izaugsme 2022.gadā saglabājās apstrādes rūpniecībā. Straujo izmaksu pieauguma dēļ bija vērojams kritums būvniecības nozarē.</w:t>
      </w:r>
    </w:p>
    <w:p w14:paraId="5F73A26B" w14:textId="0B8AFBDA" w:rsidR="006E40EF" w:rsidRDefault="006E40EF" w:rsidP="00DE4342">
      <w:pPr>
        <w:pStyle w:val="BodyText2"/>
        <w:spacing w:after="0" w:line="240" w:lineRule="auto"/>
        <w:ind w:firstLine="426"/>
        <w:jc w:val="both"/>
        <w:rPr>
          <w:rFonts w:ascii="Times New Roman" w:hAnsi="Times New Roman"/>
          <w:bCs/>
          <w:sz w:val="24"/>
          <w:szCs w:val="24"/>
          <w:lang w:val="lv-LV"/>
        </w:rPr>
      </w:pPr>
      <w:r w:rsidRPr="006E40EF">
        <w:rPr>
          <w:rFonts w:ascii="Times New Roman" w:hAnsi="Times New Roman"/>
          <w:bCs/>
          <w:sz w:val="24"/>
          <w:szCs w:val="24"/>
          <w:lang w:val="lv-LV"/>
        </w:rPr>
        <w:t xml:space="preserve">Nozaru griezumā kopējā pievienotā vērtība 2023.gada 1.pusgadā, salīdzinot ar 2022.gada atbilstošo periodu, pieauga par 0,3%. Apjomu samazinājums bija vērojams ražojošajās nozarēs, kas lielā mērā ir saistīts ar eksporta iespēju pasliktināšanos. Apstrādes rūpniecība saruka par 6,3%. Savukārt lauksaimniecības un mežsaimniecības nozarē fiksēts kritums par 4,6%, ko lielā mērā ietekmēja samazinājums augkopības nozarē saistībā ar šīs vasaras nelabvēlīgajiem laikapstākļiem. Pārējā rūpniecībā apjomu samazinājumu (par 5%) ietekmēja kritums elektroenerģijā, gāzes apgādē, siltumapgādes nozarē, kā arī ieguves rūpniecībā. Apjomu samazinājumu transporta un uzglabāšanas nozarē (par 4,8%) ietekmēja sauszemes transports un uzglabāšanas un transporta palīgdarbības. Apjomu kritums 1.pusgadā gada griezumā bija arī tirdzniecības nozarē – par </w:t>
      </w:r>
      <w:r w:rsidR="00834BAF">
        <w:rPr>
          <w:rFonts w:ascii="Times New Roman" w:hAnsi="Times New Roman"/>
          <w:bCs/>
          <w:sz w:val="24"/>
          <w:szCs w:val="24"/>
          <w:lang w:val="lv-LV"/>
        </w:rPr>
        <w:t>5,8</w:t>
      </w:r>
      <w:r w:rsidRPr="006E40EF">
        <w:rPr>
          <w:rFonts w:ascii="Times New Roman" w:hAnsi="Times New Roman"/>
          <w:bCs/>
          <w:sz w:val="24"/>
          <w:szCs w:val="24"/>
          <w:lang w:val="lv-LV"/>
        </w:rPr>
        <w:t>%.</w:t>
      </w:r>
    </w:p>
    <w:p w14:paraId="2C2C9588" w14:textId="56F711D3" w:rsidR="00DE4342" w:rsidRPr="00F94CD0" w:rsidRDefault="006E40EF" w:rsidP="00DE4342">
      <w:pPr>
        <w:pStyle w:val="BodyText2"/>
        <w:spacing w:after="0" w:line="240" w:lineRule="auto"/>
        <w:ind w:firstLine="426"/>
        <w:jc w:val="both"/>
        <w:rPr>
          <w:rFonts w:ascii="Times New Roman" w:hAnsi="Times New Roman"/>
          <w:bCs/>
          <w:sz w:val="24"/>
          <w:szCs w:val="24"/>
          <w:lang w:val="lv-LV"/>
        </w:rPr>
      </w:pPr>
      <w:r w:rsidRPr="006E40EF">
        <w:rPr>
          <w:rFonts w:ascii="Times New Roman" w:hAnsi="Times New Roman"/>
          <w:bCs/>
          <w:sz w:val="24"/>
          <w:szCs w:val="24"/>
          <w:lang w:val="lv-LV"/>
        </w:rPr>
        <w:t>Kāpums 1.pusgadā bija vērojams būvniecībā un vairumā pakalpojumu nozaru. Būvniecības nozarē pieaugums gada griezumā bija 16,1%. Stabili pieauguma tempi saglabājas nozarēs, kuras vissmagāk skāra Covid-19 ierobežojumi – 1.pusgadā izmitināšanas un ēdināšanas nozare gada griezumā pieauga par 13,9%, mākslas izklaides un atpūtas nozare – par 13,6%. Joprojām stabils kāpums vērojams IKT nozarē – 1.pusgadā pieaugums bija 11,2%.</w:t>
      </w:r>
    </w:p>
    <w:p w14:paraId="5C2F11A1" w14:textId="77777777" w:rsidR="00AC5F24" w:rsidRDefault="00DE4342" w:rsidP="00DE4342">
      <w:pPr>
        <w:pStyle w:val="BodyText2"/>
        <w:spacing w:before="120" w:after="0" w:line="240" w:lineRule="auto"/>
        <w:ind w:firstLine="425"/>
        <w:jc w:val="both"/>
        <w:rPr>
          <w:rFonts w:ascii="Times New Roman" w:hAnsi="Times New Roman"/>
          <w:b/>
          <w:sz w:val="24"/>
          <w:szCs w:val="24"/>
          <w:lang w:val="lv-LV"/>
        </w:rPr>
      </w:pPr>
      <w:r w:rsidRPr="00DE4342">
        <w:rPr>
          <w:rFonts w:ascii="Times New Roman" w:hAnsi="Times New Roman"/>
          <w:b/>
          <w:sz w:val="24"/>
          <w:szCs w:val="24"/>
          <w:lang w:val="lv-LV"/>
        </w:rPr>
        <w:t xml:space="preserve">Inflāciju visbūtiskāk ietekmē pasaules cenu kāpums energoresursiem un pārtikai. </w:t>
      </w:r>
      <w:r w:rsidR="00AC5F24" w:rsidRPr="00AC5F24">
        <w:rPr>
          <w:rFonts w:ascii="Times New Roman" w:hAnsi="Times New Roman"/>
          <w:bCs/>
          <w:sz w:val="24"/>
          <w:szCs w:val="24"/>
          <w:lang w:val="lv-LV"/>
        </w:rPr>
        <w:t>2021.gadā, pieaugot vakcinācijai un mazinoties Covid-19 ierobežojumiem, globālais pieprasījums strauji pieauga, savukārt piedāvājums (galvenokārt dēļ piegāžu ķēdēm) nespēja tik ātri pielāgoties, kas izraisīja cenu kāpumu izejmateriāliem, energoresursiem un pārtikai, īpaši 2021.gada otrajā pusē.</w:t>
      </w:r>
      <w:r w:rsidR="00AC5F24">
        <w:rPr>
          <w:rFonts w:ascii="Times New Roman" w:hAnsi="Times New Roman"/>
          <w:b/>
          <w:sz w:val="24"/>
          <w:szCs w:val="24"/>
          <w:lang w:val="lv-LV"/>
        </w:rPr>
        <w:t xml:space="preserve"> </w:t>
      </w:r>
    </w:p>
    <w:p w14:paraId="705C8439" w14:textId="2B94AEFB" w:rsidR="00DE4342" w:rsidRPr="00DE4342" w:rsidRDefault="00AC5F24" w:rsidP="00AC5F24">
      <w:pPr>
        <w:pStyle w:val="BodyText2"/>
        <w:spacing w:after="0" w:line="240" w:lineRule="auto"/>
        <w:ind w:firstLine="425"/>
        <w:jc w:val="both"/>
        <w:rPr>
          <w:rFonts w:ascii="Times New Roman" w:hAnsi="Times New Roman"/>
          <w:bCs/>
          <w:sz w:val="24"/>
          <w:szCs w:val="24"/>
          <w:lang w:val="lv-LV"/>
        </w:rPr>
      </w:pPr>
      <w:r w:rsidRPr="00780BA5">
        <w:rPr>
          <w:rFonts w:ascii="Times New Roman" w:hAnsi="Times New Roman"/>
          <w:bCs/>
          <w:sz w:val="24"/>
          <w:szCs w:val="24"/>
          <w:lang w:val="lv-LV"/>
        </w:rPr>
        <w:t>2022.gadā papildus ietekmi uz cenu pieaugumu izraisīja Krievijas iebrukums Ukrainā un tai sekojošās sankcijas,</w:t>
      </w:r>
      <w:r w:rsidRPr="00AC5F24">
        <w:rPr>
          <w:rFonts w:ascii="Times New Roman" w:hAnsi="Times New Roman"/>
          <w:bCs/>
          <w:sz w:val="24"/>
          <w:szCs w:val="24"/>
          <w:lang w:val="lv-LV"/>
        </w:rPr>
        <w:t xml:space="preserve"> kas rezultēj</w:t>
      </w:r>
      <w:r w:rsidR="00780BA5">
        <w:rPr>
          <w:rFonts w:ascii="Times New Roman" w:hAnsi="Times New Roman"/>
          <w:bCs/>
          <w:sz w:val="24"/>
          <w:szCs w:val="24"/>
          <w:lang w:val="lv-LV"/>
        </w:rPr>
        <w:t>ā</w:t>
      </w:r>
      <w:r w:rsidRPr="00AC5F24">
        <w:rPr>
          <w:rFonts w:ascii="Times New Roman" w:hAnsi="Times New Roman"/>
          <w:bCs/>
          <w:sz w:val="24"/>
          <w:szCs w:val="24"/>
          <w:lang w:val="lv-LV"/>
        </w:rPr>
        <w:t>s enerģijas un ražošanas izejmateriālu deficītā, kas savukārt kāpin</w:t>
      </w:r>
      <w:r>
        <w:rPr>
          <w:rFonts w:ascii="Times New Roman" w:hAnsi="Times New Roman"/>
          <w:bCs/>
          <w:sz w:val="24"/>
          <w:szCs w:val="24"/>
          <w:lang w:val="lv-LV"/>
        </w:rPr>
        <w:t>āja</w:t>
      </w:r>
      <w:r w:rsidRPr="00AC5F24">
        <w:rPr>
          <w:rFonts w:ascii="Times New Roman" w:hAnsi="Times New Roman"/>
          <w:bCs/>
          <w:sz w:val="24"/>
          <w:szCs w:val="24"/>
          <w:lang w:val="lv-LV"/>
        </w:rPr>
        <w:t xml:space="preserve"> cenu līmeni pasaulē. Latvijas inflācijas līmenis </w:t>
      </w:r>
      <w:r>
        <w:rPr>
          <w:rFonts w:ascii="Times New Roman" w:hAnsi="Times New Roman"/>
          <w:bCs/>
          <w:sz w:val="24"/>
          <w:szCs w:val="24"/>
          <w:lang w:val="lv-LV"/>
        </w:rPr>
        <w:t>bija</w:t>
      </w:r>
      <w:r w:rsidRPr="00AC5F24">
        <w:rPr>
          <w:rFonts w:ascii="Times New Roman" w:hAnsi="Times New Roman"/>
          <w:bCs/>
          <w:sz w:val="24"/>
          <w:szCs w:val="24"/>
          <w:lang w:val="lv-LV"/>
        </w:rPr>
        <w:t xml:space="preserve"> viens no augstākajiem ES </w:t>
      </w:r>
      <w:r>
        <w:rPr>
          <w:rFonts w:ascii="Times New Roman" w:hAnsi="Times New Roman"/>
          <w:bCs/>
          <w:sz w:val="24"/>
          <w:szCs w:val="24"/>
          <w:lang w:val="lv-LV"/>
        </w:rPr>
        <w:t xml:space="preserve">– </w:t>
      </w:r>
      <w:r w:rsidR="00DE4342" w:rsidRPr="00DE4342">
        <w:rPr>
          <w:rFonts w:ascii="Times New Roman" w:hAnsi="Times New Roman"/>
          <w:bCs/>
          <w:sz w:val="24"/>
          <w:szCs w:val="24"/>
          <w:lang w:val="lv-LV"/>
        </w:rPr>
        <w:t xml:space="preserve">2022.gada decembrī patēriņa cenas Latvijā bija par 20,8% augstākas nekā pirms gada, bet gada vidējā inflācija </w:t>
      </w:r>
      <w:r w:rsidR="00780BA5">
        <w:rPr>
          <w:rFonts w:ascii="Times New Roman" w:hAnsi="Times New Roman"/>
          <w:bCs/>
          <w:sz w:val="24"/>
          <w:szCs w:val="24"/>
          <w:lang w:val="lv-LV"/>
        </w:rPr>
        <w:t>bija</w:t>
      </w:r>
      <w:r w:rsidR="00DE4342" w:rsidRPr="00DE4342">
        <w:rPr>
          <w:rFonts w:ascii="Times New Roman" w:hAnsi="Times New Roman"/>
          <w:bCs/>
          <w:sz w:val="24"/>
          <w:szCs w:val="24"/>
          <w:lang w:val="lv-LV"/>
        </w:rPr>
        <w:t xml:space="preserve"> 17,3%. Decembrī gada griezumā pārtikas </w:t>
      </w:r>
      <w:r w:rsidR="00780BA5">
        <w:rPr>
          <w:rFonts w:ascii="Times New Roman" w:hAnsi="Times New Roman"/>
          <w:bCs/>
          <w:sz w:val="24"/>
          <w:szCs w:val="24"/>
          <w:lang w:val="lv-LV"/>
        </w:rPr>
        <w:t xml:space="preserve">un bezalkoholisko dzērienu </w:t>
      </w:r>
      <w:r w:rsidR="00DE4342" w:rsidRPr="00DE4342">
        <w:rPr>
          <w:rFonts w:ascii="Times New Roman" w:hAnsi="Times New Roman"/>
          <w:bCs/>
          <w:sz w:val="24"/>
          <w:szCs w:val="24"/>
          <w:lang w:val="lv-LV"/>
        </w:rPr>
        <w:t>cenas bija palielinājušās par 29%, elektroenerģijai, gāzei</w:t>
      </w:r>
      <w:r w:rsidR="00780BA5">
        <w:rPr>
          <w:rFonts w:ascii="Times New Roman" w:hAnsi="Times New Roman"/>
          <w:bCs/>
          <w:sz w:val="24"/>
          <w:szCs w:val="24"/>
          <w:lang w:val="lv-LV"/>
        </w:rPr>
        <w:t>,</w:t>
      </w:r>
      <w:r w:rsidR="00DE4342" w:rsidRPr="00DE4342">
        <w:rPr>
          <w:rFonts w:ascii="Times New Roman" w:hAnsi="Times New Roman"/>
          <w:bCs/>
          <w:sz w:val="24"/>
          <w:szCs w:val="24"/>
          <w:lang w:val="lv-LV"/>
        </w:rPr>
        <w:t xml:space="preserve"> cietajam kurināmajam </w:t>
      </w:r>
      <w:r w:rsidR="00780BA5" w:rsidRPr="00DE4342">
        <w:rPr>
          <w:rFonts w:ascii="Times New Roman" w:hAnsi="Times New Roman"/>
          <w:bCs/>
          <w:sz w:val="24"/>
          <w:szCs w:val="24"/>
          <w:lang w:val="lv-LV"/>
        </w:rPr>
        <w:t xml:space="preserve">un </w:t>
      </w:r>
      <w:r w:rsidR="00780BA5">
        <w:rPr>
          <w:rFonts w:ascii="Times New Roman" w:hAnsi="Times New Roman"/>
          <w:bCs/>
          <w:sz w:val="24"/>
          <w:szCs w:val="24"/>
          <w:lang w:val="lv-LV"/>
        </w:rPr>
        <w:t xml:space="preserve">siltumenerģijai </w:t>
      </w:r>
      <w:r w:rsidR="00DE4342" w:rsidRPr="00DE4342">
        <w:rPr>
          <w:rFonts w:ascii="Times New Roman" w:hAnsi="Times New Roman"/>
          <w:bCs/>
          <w:sz w:val="24"/>
          <w:szCs w:val="24"/>
          <w:lang w:val="lv-LV"/>
        </w:rPr>
        <w:t>– par 63,9% un degvielai – par 17,9%.</w:t>
      </w:r>
    </w:p>
    <w:p w14:paraId="3A027210" w14:textId="44BEB934" w:rsidR="00F94CD0" w:rsidRDefault="00DE4342" w:rsidP="00AC5F24">
      <w:pPr>
        <w:pStyle w:val="BodyText2"/>
        <w:spacing w:after="0" w:line="240" w:lineRule="auto"/>
        <w:ind w:firstLine="425"/>
        <w:jc w:val="both"/>
        <w:rPr>
          <w:rFonts w:ascii="Times New Roman" w:hAnsi="Times New Roman"/>
          <w:bCs/>
          <w:sz w:val="24"/>
          <w:szCs w:val="24"/>
          <w:lang w:val="lv-LV"/>
        </w:rPr>
      </w:pPr>
      <w:r w:rsidRPr="00780BA5">
        <w:rPr>
          <w:rFonts w:ascii="Times New Roman" w:hAnsi="Times New Roman"/>
          <w:bCs/>
          <w:sz w:val="24"/>
          <w:szCs w:val="24"/>
          <w:lang w:val="lv-LV"/>
        </w:rPr>
        <w:t>2023.gadā patēriņa cenas stabilizējas,</w:t>
      </w:r>
      <w:r w:rsidRPr="00DE4342">
        <w:rPr>
          <w:rFonts w:ascii="Times New Roman" w:hAnsi="Times New Roman"/>
          <w:bCs/>
          <w:sz w:val="24"/>
          <w:szCs w:val="24"/>
          <w:lang w:val="lv-LV"/>
        </w:rPr>
        <w:t xml:space="preserve"> katru mēnesi sarūkot, salīdzinot ar iepriekšējā gada atbilstošo mēnesi - no augstākas 21,5% š</w:t>
      </w:r>
      <w:r w:rsidR="00780BA5">
        <w:rPr>
          <w:rFonts w:ascii="Times New Roman" w:hAnsi="Times New Roman"/>
          <w:bCs/>
          <w:sz w:val="24"/>
          <w:szCs w:val="24"/>
          <w:lang w:val="lv-LV"/>
        </w:rPr>
        <w:t>ī</w:t>
      </w:r>
      <w:r w:rsidRPr="00DE4342">
        <w:rPr>
          <w:rFonts w:ascii="Times New Roman" w:hAnsi="Times New Roman"/>
          <w:bCs/>
          <w:sz w:val="24"/>
          <w:szCs w:val="24"/>
          <w:lang w:val="lv-LV"/>
        </w:rPr>
        <w:t xml:space="preserve"> gada sākumā līdz 5,4% augustā. Gada vidējā inflācija augustā bija 15,6%. Ņemot vērā saspringto ģeopolitisko situāciju un inflācijas dinamikas bāzes efektu, 2023.gadā kopumā vidējā gada inflācija paredzama 9% robežās. Arī turpmāk galvenā ietekme uz cenu izmaiņām joprojām būs saistīta ar energoresursu un pārtikas cenu svārstībām pasaulē, būs vērojama arī to pakārtotā ietekme uz rūpniecības preču un pakalpojumu cenām.</w:t>
      </w:r>
    </w:p>
    <w:p w14:paraId="4A935B15" w14:textId="1C05705B" w:rsidR="00AC5F24" w:rsidRDefault="00345C63" w:rsidP="00345C63">
      <w:pPr>
        <w:pStyle w:val="BodyText2"/>
        <w:spacing w:before="120" w:after="0" w:line="240" w:lineRule="auto"/>
        <w:ind w:firstLine="426"/>
        <w:jc w:val="both"/>
        <w:rPr>
          <w:rFonts w:ascii="Times New Roman" w:hAnsi="Times New Roman"/>
          <w:b/>
          <w:sz w:val="24"/>
          <w:szCs w:val="24"/>
          <w:lang w:val="lv-LV"/>
        </w:rPr>
      </w:pPr>
      <w:r w:rsidRPr="00345C63">
        <w:rPr>
          <w:rFonts w:ascii="Times New Roman" w:hAnsi="Times New Roman"/>
          <w:b/>
          <w:sz w:val="24"/>
          <w:szCs w:val="24"/>
          <w:lang w:val="lv-LV"/>
        </w:rPr>
        <w:t xml:space="preserve">Neraugoties uz ekonomikas satricinājumiem, darba tirgus saglabājas stabils. </w:t>
      </w:r>
      <w:r w:rsidR="00AC5F24" w:rsidRPr="00AC5F24">
        <w:rPr>
          <w:rFonts w:ascii="Times New Roman" w:hAnsi="Times New Roman"/>
          <w:bCs/>
          <w:sz w:val="24"/>
          <w:szCs w:val="24"/>
          <w:lang w:val="lv-LV"/>
        </w:rPr>
        <w:t xml:space="preserve">2021.gadā pakāpeniski uzlabojoties epidemioloģiskajai situācijai bija vērojami uzlabojumi darba tirgū. Tomēr krīze </w:t>
      </w:r>
      <w:r w:rsidR="00AC5F24">
        <w:rPr>
          <w:rFonts w:ascii="Times New Roman" w:hAnsi="Times New Roman"/>
          <w:bCs/>
          <w:sz w:val="24"/>
          <w:szCs w:val="24"/>
          <w:lang w:val="lv-LV"/>
        </w:rPr>
        <w:t>bija</w:t>
      </w:r>
      <w:r w:rsidR="00AC5F24" w:rsidRPr="00AC5F24">
        <w:rPr>
          <w:rFonts w:ascii="Times New Roman" w:hAnsi="Times New Roman"/>
          <w:bCs/>
          <w:sz w:val="24"/>
          <w:szCs w:val="24"/>
          <w:lang w:val="lv-LV"/>
        </w:rPr>
        <w:t xml:space="preserve"> atstājusi redzamas “pēdas” darba tirgū. Nodarbināto skaits un nodarbinātības līmenis joprojām </w:t>
      </w:r>
      <w:r w:rsidR="00AC5F24">
        <w:rPr>
          <w:rFonts w:ascii="Times New Roman" w:hAnsi="Times New Roman"/>
          <w:bCs/>
          <w:sz w:val="24"/>
          <w:szCs w:val="24"/>
          <w:lang w:val="lv-LV"/>
        </w:rPr>
        <w:t>bija</w:t>
      </w:r>
      <w:r w:rsidR="00AC5F24" w:rsidRPr="00AC5F24">
        <w:rPr>
          <w:rFonts w:ascii="Times New Roman" w:hAnsi="Times New Roman"/>
          <w:bCs/>
          <w:sz w:val="24"/>
          <w:szCs w:val="24"/>
          <w:lang w:val="lv-LV"/>
        </w:rPr>
        <w:t xml:space="preserve"> būtiski zemāks nekā 2019.gadā.</w:t>
      </w:r>
    </w:p>
    <w:p w14:paraId="4CF49664" w14:textId="7912354A" w:rsidR="00345C63" w:rsidRPr="00345C63" w:rsidRDefault="00345C63" w:rsidP="00AC5F24">
      <w:pPr>
        <w:pStyle w:val="BodyText2"/>
        <w:spacing w:after="0" w:line="240" w:lineRule="auto"/>
        <w:ind w:firstLine="425"/>
        <w:jc w:val="both"/>
        <w:rPr>
          <w:rFonts w:ascii="Times New Roman" w:hAnsi="Times New Roman"/>
          <w:bCs/>
          <w:sz w:val="24"/>
          <w:szCs w:val="24"/>
          <w:lang w:val="lv-LV"/>
        </w:rPr>
      </w:pPr>
      <w:r w:rsidRPr="00345C63">
        <w:rPr>
          <w:rFonts w:ascii="Times New Roman" w:hAnsi="Times New Roman"/>
          <w:bCs/>
          <w:sz w:val="24"/>
          <w:szCs w:val="24"/>
          <w:lang w:val="lv-LV"/>
        </w:rPr>
        <w:t>Nodarbināto skaits Latvijā 2022.gadā palielinājās par 2,6%. Gada griezumā tas ir bijis straujākais nodarbināto skaita pieaugums kopš 2007.gada, ko daļēji noteikusi gan darba tirgus atgūšanās no Covid-19 pandēmijas, gan arī arvien plašāka Ukrainas civiliedzīvotāju nodarbinātība Latvijā. Līdz ar nodarbinātības pieaugumu turpināja samazināties bezdarba līmenis. Tas 2022.gadā samazinājās līdz 6,9% (salīdzinot ar 2021.gadu – par 0,7 procentpunktiem).</w:t>
      </w:r>
    </w:p>
    <w:p w14:paraId="190E5523" w14:textId="708F852A" w:rsidR="00F94CD0" w:rsidRPr="00F94CD0" w:rsidRDefault="00345C63" w:rsidP="00345C63">
      <w:pPr>
        <w:pStyle w:val="BodyText2"/>
        <w:spacing w:after="0" w:line="240" w:lineRule="auto"/>
        <w:ind w:firstLine="426"/>
        <w:jc w:val="both"/>
        <w:rPr>
          <w:rFonts w:ascii="Times New Roman" w:hAnsi="Times New Roman"/>
          <w:bCs/>
          <w:sz w:val="24"/>
          <w:szCs w:val="24"/>
          <w:lang w:val="lv-LV"/>
        </w:rPr>
      </w:pPr>
      <w:r w:rsidRPr="00345C63">
        <w:rPr>
          <w:rFonts w:ascii="Times New Roman" w:hAnsi="Times New Roman"/>
          <w:bCs/>
          <w:sz w:val="24"/>
          <w:szCs w:val="24"/>
          <w:lang w:val="lv-LV"/>
        </w:rPr>
        <w:t>Arī 2023.gada 1.pusgadā neraugoties uz saspringto ģeopolitisko situāciju un ekonomikas izaugsmes tempu samazināšanos, situācija darba tirgū būtiski nepasliktinājās, jo pieprasījums pēc darbaspēka ir augsts.</w:t>
      </w:r>
      <w:r w:rsidRPr="00345C63">
        <w:rPr>
          <w:rFonts w:ascii="Times New Roman" w:hAnsi="Times New Roman"/>
          <w:b/>
          <w:sz w:val="24"/>
          <w:szCs w:val="24"/>
          <w:lang w:val="lv-LV"/>
        </w:rPr>
        <w:t xml:space="preserve"> </w:t>
      </w:r>
      <w:r w:rsidRPr="00345C63">
        <w:rPr>
          <w:rFonts w:ascii="Times New Roman" w:hAnsi="Times New Roman"/>
          <w:bCs/>
          <w:sz w:val="24"/>
          <w:szCs w:val="24"/>
          <w:lang w:val="lv-LV"/>
        </w:rPr>
        <w:t>2023.gada 2.ceturksnī, salīdzinot ar situāciju pirms gada, nodarbināto skaits vecumā no 15 līdz 74 gadiem pieauga par 0,3% jeb 2,4 tūkst., savukārt nodarbinātības līmenis palielinājās par 0,4 procentpunktiem līdz 64,4%. Bezdarba līmenis 2023.gada 2.ceturksnī bija 6,4%, kas ir par 0,5 procentpunktiem zemāks rādītājs nekā attiecīgā periodā pirms gada. 2.ceturksnī darba meklējumos bija 60,6 tūkst. iedzīvotāji vecumā no 15-74 gadiem, kas ir par 3,5% jeb 2,2 tūkst. mazāk nekā 2022.gada 2.ceturksnī.</w:t>
      </w:r>
    </w:p>
    <w:p w14:paraId="49239560" w14:textId="77777777" w:rsidR="00345C63" w:rsidRDefault="00345C63" w:rsidP="00345C63">
      <w:pPr>
        <w:pStyle w:val="BodyText2"/>
        <w:spacing w:after="0" w:line="240" w:lineRule="auto"/>
        <w:ind w:firstLine="425"/>
        <w:jc w:val="both"/>
        <w:rPr>
          <w:rFonts w:ascii="Times New Roman" w:hAnsi="Times New Roman"/>
          <w:bCs/>
          <w:sz w:val="24"/>
          <w:szCs w:val="24"/>
          <w:lang w:val="lv-LV"/>
        </w:rPr>
      </w:pPr>
      <w:r w:rsidRPr="00345C63">
        <w:rPr>
          <w:rFonts w:ascii="Times New Roman" w:hAnsi="Times New Roman"/>
          <w:bCs/>
          <w:sz w:val="24"/>
          <w:szCs w:val="24"/>
          <w:lang w:val="lv-LV"/>
        </w:rPr>
        <w:t>Ņemot vērā ekonomikas izaugsmes tempu palēnināšanos, prognozējams, ka kopumā situācija Latvijas darba tirgū 2023.gada otrā pusē saglabāsies nogaidoša. Kopumā bezdarba līmenis 2023.gadā varētu samazināties līdz vidēji 6,1%, savukārt nodarbināto skaits saglabāties tuvu 2022.gada līmenim.</w:t>
      </w:r>
    </w:p>
    <w:p w14:paraId="40C9621C" w14:textId="03F59D04" w:rsidR="00F72860" w:rsidRPr="00F72860" w:rsidRDefault="00345C63" w:rsidP="00345C63">
      <w:pPr>
        <w:pStyle w:val="BodyText2"/>
        <w:spacing w:before="120" w:after="0" w:line="240" w:lineRule="auto"/>
        <w:ind w:firstLine="425"/>
        <w:jc w:val="both"/>
        <w:rPr>
          <w:rFonts w:ascii="Times New Roman" w:hAnsi="Times New Roman"/>
          <w:bCs/>
          <w:sz w:val="24"/>
          <w:szCs w:val="24"/>
          <w:lang w:val="lv-LV"/>
        </w:rPr>
      </w:pPr>
      <w:r w:rsidRPr="00345C63">
        <w:rPr>
          <w:rFonts w:ascii="Times New Roman" w:hAnsi="Times New Roman"/>
          <w:b/>
          <w:sz w:val="24"/>
          <w:szCs w:val="24"/>
          <w:lang w:val="lv-LV"/>
        </w:rPr>
        <w:t>Mēneša vidējā bruto darba samaksa turpina palielināties</w:t>
      </w:r>
      <w:r w:rsidR="00F72860">
        <w:rPr>
          <w:rFonts w:ascii="Times New Roman" w:hAnsi="Times New Roman"/>
          <w:b/>
          <w:sz w:val="24"/>
          <w:szCs w:val="24"/>
          <w:lang w:val="lv-LV"/>
        </w:rPr>
        <w:t xml:space="preserve">. </w:t>
      </w:r>
      <w:r w:rsidR="00F72860" w:rsidRPr="00F72860">
        <w:rPr>
          <w:rFonts w:ascii="Times New Roman" w:hAnsi="Times New Roman"/>
          <w:bCs/>
          <w:sz w:val="24"/>
          <w:szCs w:val="24"/>
          <w:lang w:val="lv-LV"/>
        </w:rPr>
        <w:t xml:space="preserve">Līdz ar ekonomisko aktivitāšu atgriešanos </w:t>
      </w:r>
      <w:bookmarkStart w:id="0" w:name="_Hlk146120236"/>
      <w:r w:rsidR="00F72860">
        <w:rPr>
          <w:rFonts w:ascii="Times New Roman" w:hAnsi="Times New Roman"/>
          <w:bCs/>
          <w:sz w:val="24"/>
          <w:szCs w:val="24"/>
          <w:lang w:val="lv-LV"/>
        </w:rPr>
        <w:t>2021.gadā v</w:t>
      </w:r>
      <w:r w:rsidR="00F72860" w:rsidRPr="00F72860">
        <w:rPr>
          <w:rFonts w:ascii="Times New Roman" w:hAnsi="Times New Roman"/>
          <w:bCs/>
          <w:sz w:val="24"/>
          <w:szCs w:val="24"/>
          <w:lang w:val="lv-LV"/>
        </w:rPr>
        <w:t>idējā mēneša bruto alga palielinājās par 11,8% – pieaugot līdz vidēji 1 277 eiro mēnesī</w:t>
      </w:r>
      <w:bookmarkEnd w:id="0"/>
      <w:r w:rsidR="00F72860" w:rsidRPr="00F72860">
        <w:rPr>
          <w:rFonts w:ascii="Times New Roman" w:hAnsi="Times New Roman"/>
          <w:bCs/>
          <w:sz w:val="24"/>
          <w:szCs w:val="24"/>
          <w:lang w:val="lv-LV"/>
        </w:rPr>
        <w:t xml:space="preserve">, kas ir bijis straujākais vidējās algas pieaugums pēdējo 13 gadu laikā. Jāatzīmē, ka nozīmīgs algu pieaugums Latvijā ir bijis vērojams jau iepriekšējos gados – vidējais algu pieaugums </w:t>
      </w:r>
      <w:r w:rsidR="00F72860">
        <w:rPr>
          <w:rFonts w:ascii="Times New Roman" w:hAnsi="Times New Roman"/>
          <w:bCs/>
          <w:sz w:val="24"/>
          <w:szCs w:val="24"/>
          <w:lang w:val="lv-LV"/>
        </w:rPr>
        <w:t>2016.-2020.</w:t>
      </w:r>
      <w:r w:rsidR="00F72860" w:rsidRPr="00F72860">
        <w:rPr>
          <w:rFonts w:ascii="Times New Roman" w:hAnsi="Times New Roman"/>
          <w:bCs/>
          <w:sz w:val="24"/>
          <w:szCs w:val="24"/>
          <w:lang w:val="lv-LV"/>
        </w:rPr>
        <w:t xml:space="preserve"> gadu laikā ir bijis tuvu 7% gadā.</w:t>
      </w:r>
    </w:p>
    <w:p w14:paraId="03243526" w14:textId="52A45B62" w:rsidR="00F94CD0" w:rsidRDefault="00F72860" w:rsidP="00F879B5">
      <w:pPr>
        <w:pStyle w:val="BodyText2"/>
        <w:spacing w:after="0" w:line="240" w:lineRule="auto"/>
        <w:ind w:firstLine="425"/>
        <w:jc w:val="both"/>
        <w:rPr>
          <w:rFonts w:ascii="Times New Roman" w:hAnsi="Times New Roman"/>
          <w:bCs/>
          <w:sz w:val="24"/>
          <w:szCs w:val="24"/>
          <w:lang w:val="lv-LV"/>
        </w:rPr>
      </w:pPr>
      <w:r w:rsidRPr="00F72860">
        <w:rPr>
          <w:rFonts w:ascii="Times New Roman" w:hAnsi="Times New Roman"/>
          <w:bCs/>
          <w:sz w:val="24"/>
          <w:szCs w:val="24"/>
          <w:lang w:val="lv-LV"/>
        </w:rPr>
        <w:t>202</w:t>
      </w:r>
      <w:r w:rsidR="00F879B5">
        <w:rPr>
          <w:rFonts w:ascii="Times New Roman" w:hAnsi="Times New Roman"/>
          <w:bCs/>
          <w:sz w:val="24"/>
          <w:szCs w:val="24"/>
          <w:lang w:val="lv-LV"/>
        </w:rPr>
        <w:t>2</w:t>
      </w:r>
      <w:r w:rsidRPr="00F72860">
        <w:rPr>
          <w:rFonts w:ascii="Times New Roman" w:hAnsi="Times New Roman"/>
          <w:bCs/>
          <w:sz w:val="24"/>
          <w:szCs w:val="24"/>
          <w:lang w:val="lv-LV"/>
        </w:rPr>
        <w:t xml:space="preserve">.gadā vidējā mēneša bruto alga palielinājās par </w:t>
      </w:r>
      <w:r w:rsidR="00F879B5">
        <w:rPr>
          <w:rFonts w:ascii="Times New Roman" w:hAnsi="Times New Roman"/>
          <w:bCs/>
          <w:sz w:val="24"/>
          <w:szCs w:val="24"/>
          <w:lang w:val="lv-LV"/>
        </w:rPr>
        <w:t>7,5</w:t>
      </w:r>
      <w:r w:rsidRPr="00F72860">
        <w:rPr>
          <w:rFonts w:ascii="Times New Roman" w:hAnsi="Times New Roman"/>
          <w:bCs/>
          <w:sz w:val="24"/>
          <w:szCs w:val="24"/>
          <w:lang w:val="lv-LV"/>
        </w:rPr>
        <w:t xml:space="preserve">% – pieaugot līdz vidēji 1 </w:t>
      </w:r>
      <w:r w:rsidR="00F879B5">
        <w:rPr>
          <w:rFonts w:ascii="Times New Roman" w:hAnsi="Times New Roman"/>
          <w:bCs/>
          <w:sz w:val="24"/>
          <w:szCs w:val="24"/>
          <w:lang w:val="lv-LV"/>
        </w:rPr>
        <w:t>3</w:t>
      </w:r>
      <w:r w:rsidRPr="00F72860">
        <w:rPr>
          <w:rFonts w:ascii="Times New Roman" w:hAnsi="Times New Roman"/>
          <w:bCs/>
          <w:sz w:val="24"/>
          <w:szCs w:val="24"/>
          <w:lang w:val="lv-LV"/>
        </w:rPr>
        <w:t>7</w:t>
      </w:r>
      <w:r w:rsidR="00F879B5">
        <w:rPr>
          <w:rFonts w:ascii="Times New Roman" w:hAnsi="Times New Roman"/>
          <w:bCs/>
          <w:sz w:val="24"/>
          <w:szCs w:val="24"/>
          <w:lang w:val="lv-LV"/>
        </w:rPr>
        <w:t>3</w:t>
      </w:r>
      <w:r w:rsidRPr="00F72860">
        <w:rPr>
          <w:rFonts w:ascii="Times New Roman" w:hAnsi="Times New Roman"/>
          <w:bCs/>
          <w:sz w:val="24"/>
          <w:szCs w:val="24"/>
          <w:lang w:val="lv-LV"/>
        </w:rPr>
        <w:t xml:space="preserve"> eiro mēnesī</w:t>
      </w:r>
      <w:r>
        <w:rPr>
          <w:rFonts w:ascii="Times New Roman" w:hAnsi="Times New Roman"/>
          <w:bCs/>
          <w:sz w:val="24"/>
          <w:szCs w:val="24"/>
          <w:lang w:val="lv-LV"/>
        </w:rPr>
        <w:t>. T</w:t>
      </w:r>
      <w:r w:rsidR="00345C63" w:rsidRPr="00345C63">
        <w:rPr>
          <w:rFonts w:ascii="Times New Roman" w:hAnsi="Times New Roman"/>
          <w:bCs/>
          <w:sz w:val="24"/>
          <w:szCs w:val="24"/>
          <w:lang w:val="lv-LV"/>
        </w:rPr>
        <w:t xml:space="preserve">aču </w:t>
      </w:r>
      <w:r>
        <w:rPr>
          <w:rFonts w:ascii="Times New Roman" w:hAnsi="Times New Roman"/>
          <w:bCs/>
          <w:sz w:val="24"/>
          <w:szCs w:val="24"/>
          <w:lang w:val="lv-LV"/>
        </w:rPr>
        <w:t xml:space="preserve">jāatzīmē, ka </w:t>
      </w:r>
      <w:r w:rsidR="00F879B5">
        <w:rPr>
          <w:rFonts w:ascii="Times New Roman" w:hAnsi="Times New Roman"/>
          <w:bCs/>
          <w:sz w:val="24"/>
          <w:szCs w:val="24"/>
          <w:lang w:val="lv-LV"/>
        </w:rPr>
        <w:t>vidējās bruto darba samaksas</w:t>
      </w:r>
      <w:r w:rsidR="00345C63" w:rsidRPr="00345C63">
        <w:rPr>
          <w:rFonts w:ascii="Times New Roman" w:hAnsi="Times New Roman"/>
          <w:bCs/>
          <w:sz w:val="24"/>
          <w:szCs w:val="24"/>
          <w:lang w:val="lv-LV"/>
        </w:rPr>
        <w:t xml:space="preserve"> pieauguma tempi pret iepriekšējā gada atbilstošo periodu no 2022.gada 1.ceturkšņa līdz 2023.gada 1.ceturksnim bija zemāki par inflācijas pieauguma tempu, izraisot pirktspējas samazināšanos. 2023.gada 2.ceturksnī reālā alga nedaudz pieauga par 0,1%, bet vidējā neto darba samaksa bija 1 114 eiro jeb 73% no bruto algas. Gada laikā tā pieauga par 11,7%. Sagaidāms, ka šāda tendence – reālās algas lēns pieaugums – īstermiņā turpināsies, kamēr straujais inflācijas pieaugums nemazināsies.</w:t>
      </w:r>
    </w:p>
    <w:p w14:paraId="49B4DA07" w14:textId="02C4A66C" w:rsidR="00345C63" w:rsidRDefault="00345C63" w:rsidP="00345C63">
      <w:pPr>
        <w:pStyle w:val="BodyText2"/>
        <w:spacing w:after="0" w:line="240" w:lineRule="auto"/>
        <w:ind w:firstLine="425"/>
        <w:jc w:val="both"/>
        <w:rPr>
          <w:rFonts w:ascii="Times New Roman" w:hAnsi="Times New Roman"/>
          <w:bCs/>
          <w:sz w:val="24"/>
          <w:szCs w:val="24"/>
          <w:lang w:val="lv-LV"/>
        </w:rPr>
      </w:pPr>
      <w:r w:rsidRPr="00345C63">
        <w:rPr>
          <w:rFonts w:ascii="Times New Roman" w:hAnsi="Times New Roman"/>
          <w:bCs/>
          <w:sz w:val="24"/>
          <w:szCs w:val="24"/>
          <w:lang w:val="lv-LV"/>
        </w:rPr>
        <w:t>Vienlaikus pozitīvu spiedienu uz darba algām turpinās uzturēt gan algu konverģences process tuvāk ES ekonomiski attīstīto valstu algu līmenim, gan arvien pieaugošā kvalificēta darbaspēka nepietiekamība – darba tirgus sašaurināšanās, kas rada nepieciešamību uzņēmējiem aktīvāk domāt ne tikai kā piesaistīt jaunus speciālistus, bet ar</w:t>
      </w:r>
      <w:r w:rsidR="00543FF3">
        <w:rPr>
          <w:rFonts w:ascii="Times New Roman" w:hAnsi="Times New Roman"/>
          <w:bCs/>
          <w:sz w:val="24"/>
          <w:szCs w:val="24"/>
          <w:lang w:val="lv-LV"/>
        </w:rPr>
        <w:t>ī</w:t>
      </w:r>
      <w:r w:rsidRPr="00345C63">
        <w:rPr>
          <w:rFonts w:ascii="Times New Roman" w:hAnsi="Times New Roman"/>
          <w:bCs/>
          <w:sz w:val="24"/>
          <w:szCs w:val="24"/>
          <w:lang w:val="lv-LV"/>
        </w:rPr>
        <w:t xml:space="preserve"> kā noturēt esošos, t.sk. pārskatot darba atalgojuma likmes.</w:t>
      </w:r>
    </w:p>
    <w:p w14:paraId="554E77A2" w14:textId="79556514" w:rsidR="00DE2C49" w:rsidRDefault="00607319" w:rsidP="000D3CD8">
      <w:pPr>
        <w:pStyle w:val="BodyText2"/>
        <w:spacing w:before="120" w:after="0" w:line="240" w:lineRule="auto"/>
        <w:ind w:firstLine="425"/>
        <w:jc w:val="both"/>
        <w:rPr>
          <w:rFonts w:ascii="Times New Roman" w:hAnsi="Times New Roman"/>
          <w:bCs/>
          <w:sz w:val="24"/>
          <w:szCs w:val="24"/>
          <w:lang w:val="lv-LV"/>
        </w:rPr>
      </w:pPr>
      <w:r w:rsidRPr="00F52CE2">
        <w:rPr>
          <w:rFonts w:ascii="Times New Roman" w:hAnsi="Times New Roman"/>
          <w:b/>
          <w:sz w:val="24"/>
          <w:szCs w:val="24"/>
          <w:lang w:val="lv-LV"/>
        </w:rPr>
        <w:t xml:space="preserve">Produktivitātes dinamika pēdējos gados ir svārstīga, ko noteica korekcijas produktu un darba tirgos, reaģējot </w:t>
      </w:r>
      <w:r w:rsidR="0079480F" w:rsidRPr="00F52CE2">
        <w:rPr>
          <w:rFonts w:ascii="Times New Roman" w:hAnsi="Times New Roman"/>
          <w:b/>
          <w:sz w:val="24"/>
          <w:szCs w:val="24"/>
          <w:lang w:val="lv-LV"/>
        </w:rPr>
        <w:t>uz Covid-19 pandēmijas ierobežošanas pasākumiem un ģeopolitiskiem satricinājumiem.</w:t>
      </w:r>
      <w:r w:rsidRPr="00F52CE2">
        <w:rPr>
          <w:rFonts w:ascii="Times New Roman" w:hAnsi="Times New Roman"/>
          <w:bCs/>
          <w:sz w:val="24"/>
          <w:szCs w:val="24"/>
          <w:lang w:val="lv-LV"/>
        </w:rPr>
        <w:t xml:space="preserve"> </w:t>
      </w:r>
      <w:r w:rsidR="0079480F" w:rsidRPr="00F52CE2">
        <w:rPr>
          <w:rFonts w:ascii="Times New Roman" w:hAnsi="Times New Roman"/>
          <w:bCs/>
          <w:sz w:val="24"/>
          <w:szCs w:val="24"/>
          <w:lang w:val="lv-LV"/>
        </w:rPr>
        <w:t>Mazinoties</w:t>
      </w:r>
      <w:r w:rsidR="0079480F" w:rsidRPr="0079480F">
        <w:rPr>
          <w:rFonts w:ascii="Times New Roman" w:hAnsi="Times New Roman"/>
          <w:bCs/>
          <w:sz w:val="24"/>
          <w:szCs w:val="24"/>
          <w:lang w:val="lv-LV"/>
        </w:rPr>
        <w:t xml:space="preserve"> </w:t>
      </w:r>
      <w:r w:rsidR="0079480F">
        <w:rPr>
          <w:rFonts w:ascii="Times New Roman" w:hAnsi="Times New Roman"/>
          <w:bCs/>
          <w:sz w:val="24"/>
          <w:szCs w:val="24"/>
          <w:lang w:val="lv-LV"/>
        </w:rPr>
        <w:t xml:space="preserve">Covid-19 pandēmijas </w:t>
      </w:r>
      <w:r w:rsidR="0079480F" w:rsidRPr="0079480F">
        <w:rPr>
          <w:rFonts w:ascii="Times New Roman" w:hAnsi="Times New Roman"/>
          <w:bCs/>
          <w:sz w:val="24"/>
          <w:szCs w:val="24"/>
          <w:lang w:val="lv-LV"/>
        </w:rPr>
        <w:t>ierobežojumiem un atjaunojoties ekonomiskām aktivitātēm</w:t>
      </w:r>
      <w:r w:rsidR="00DE2C49">
        <w:rPr>
          <w:rFonts w:ascii="Times New Roman" w:hAnsi="Times New Roman"/>
          <w:bCs/>
          <w:sz w:val="24"/>
          <w:szCs w:val="24"/>
          <w:lang w:val="lv-LV"/>
        </w:rPr>
        <w:t>,</w:t>
      </w:r>
      <w:r w:rsidR="0079480F" w:rsidRPr="0079480F">
        <w:rPr>
          <w:rFonts w:ascii="Times New Roman" w:hAnsi="Times New Roman"/>
          <w:bCs/>
          <w:sz w:val="24"/>
          <w:szCs w:val="24"/>
          <w:lang w:val="lv-LV"/>
        </w:rPr>
        <w:t xml:space="preserve"> 2021.gadā</w:t>
      </w:r>
      <w:r w:rsidR="00CF61B2">
        <w:rPr>
          <w:rFonts w:ascii="Times New Roman" w:hAnsi="Times New Roman"/>
          <w:bCs/>
          <w:sz w:val="24"/>
          <w:szCs w:val="24"/>
          <w:lang w:val="lv-LV"/>
        </w:rPr>
        <w:t xml:space="preserve"> </w:t>
      </w:r>
      <w:r w:rsidR="00CF61B2" w:rsidRPr="00CF61B2">
        <w:rPr>
          <w:rFonts w:ascii="Times New Roman" w:hAnsi="Times New Roman"/>
          <w:bCs/>
          <w:sz w:val="24"/>
          <w:szCs w:val="24"/>
          <w:lang w:val="lv-LV"/>
        </w:rPr>
        <w:t xml:space="preserve">produktivitāte pieauga </w:t>
      </w:r>
      <w:r w:rsidR="0079480F" w:rsidRPr="0079480F">
        <w:rPr>
          <w:rFonts w:ascii="Times New Roman" w:hAnsi="Times New Roman"/>
          <w:bCs/>
          <w:sz w:val="24"/>
          <w:szCs w:val="24"/>
          <w:lang w:val="lv-LV"/>
        </w:rPr>
        <w:t>par 7</w:t>
      </w:r>
      <w:r w:rsidR="000D3CD8">
        <w:rPr>
          <w:rFonts w:ascii="Times New Roman" w:hAnsi="Times New Roman"/>
          <w:bCs/>
          <w:sz w:val="24"/>
          <w:szCs w:val="24"/>
          <w:lang w:val="lv-LV"/>
        </w:rPr>
        <w:t>,8</w:t>
      </w:r>
      <w:r w:rsidR="00DE2C49">
        <w:rPr>
          <w:rFonts w:ascii="Times New Roman" w:hAnsi="Times New Roman"/>
          <w:bCs/>
          <w:sz w:val="24"/>
          <w:szCs w:val="24"/>
          <w:lang w:val="lv-LV"/>
        </w:rPr>
        <w:t>%</w:t>
      </w:r>
      <w:r w:rsidR="000D3CD8">
        <w:rPr>
          <w:rFonts w:ascii="Times New Roman" w:hAnsi="Times New Roman"/>
          <w:bCs/>
          <w:sz w:val="24"/>
          <w:szCs w:val="24"/>
          <w:lang w:val="lv-LV"/>
        </w:rPr>
        <w:t>,</w:t>
      </w:r>
      <w:r w:rsidR="00CF61B2">
        <w:rPr>
          <w:rFonts w:ascii="Times New Roman" w:hAnsi="Times New Roman"/>
          <w:bCs/>
          <w:sz w:val="24"/>
          <w:szCs w:val="24"/>
          <w:lang w:val="lv-LV"/>
        </w:rPr>
        <w:t xml:space="preserve"> </w:t>
      </w:r>
      <w:r w:rsidR="000D3CD8">
        <w:rPr>
          <w:rFonts w:ascii="Times New Roman" w:hAnsi="Times New Roman"/>
          <w:bCs/>
          <w:sz w:val="24"/>
          <w:szCs w:val="24"/>
          <w:lang w:val="lv-LV"/>
        </w:rPr>
        <w:t>b</w:t>
      </w:r>
      <w:r w:rsidR="00DE2C49">
        <w:rPr>
          <w:rFonts w:ascii="Times New Roman" w:hAnsi="Times New Roman"/>
          <w:bCs/>
          <w:sz w:val="24"/>
          <w:szCs w:val="24"/>
          <w:lang w:val="lv-LV"/>
        </w:rPr>
        <w:t xml:space="preserve">et </w:t>
      </w:r>
      <w:r w:rsidR="0079480F" w:rsidRPr="0079480F">
        <w:rPr>
          <w:rFonts w:ascii="Times New Roman" w:hAnsi="Times New Roman"/>
          <w:bCs/>
          <w:sz w:val="24"/>
          <w:szCs w:val="24"/>
          <w:lang w:val="lv-LV"/>
        </w:rPr>
        <w:t xml:space="preserve">2022.gadā </w:t>
      </w:r>
      <w:r w:rsidR="000D3CD8">
        <w:rPr>
          <w:rFonts w:ascii="Times New Roman" w:hAnsi="Times New Roman"/>
          <w:bCs/>
          <w:sz w:val="24"/>
          <w:szCs w:val="24"/>
          <w:lang w:val="lv-LV"/>
        </w:rPr>
        <w:t>tā</w:t>
      </w:r>
      <w:r w:rsidR="00CF61B2">
        <w:rPr>
          <w:rFonts w:ascii="Times New Roman" w:hAnsi="Times New Roman"/>
          <w:bCs/>
          <w:sz w:val="24"/>
          <w:szCs w:val="24"/>
          <w:lang w:val="lv-LV"/>
        </w:rPr>
        <w:t xml:space="preserve"> </w:t>
      </w:r>
      <w:r w:rsidR="000D3CD8">
        <w:rPr>
          <w:rFonts w:ascii="Times New Roman" w:hAnsi="Times New Roman"/>
          <w:bCs/>
          <w:sz w:val="24"/>
          <w:szCs w:val="24"/>
          <w:lang w:val="lv-LV"/>
        </w:rPr>
        <w:t>saglabājās iepriekšējā gada līmenī</w:t>
      </w:r>
      <w:r w:rsidR="00EA0A84">
        <w:rPr>
          <w:rFonts w:ascii="Times New Roman" w:hAnsi="Times New Roman"/>
          <w:bCs/>
          <w:sz w:val="24"/>
          <w:szCs w:val="24"/>
          <w:lang w:val="lv-LV"/>
        </w:rPr>
        <w:t xml:space="preserve">. </w:t>
      </w:r>
      <w:r w:rsidR="00DE2C49" w:rsidRPr="00572820">
        <w:rPr>
          <w:rFonts w:ascii="Times New Roman" w:hAnsi="Times New Roman"/>
          <w:bCs/>
          <w:sz w:val="24"/>
          <w:szCs w:val="24"/>
          <w:lang w:val="lv-LV"/>
        </w:rPr>
        <w:t>Arī 2023.gada 1.pusgadā ekonomikas izaugsme bija ekstensīva un produktivitāte</w:t>
      </w:r>
      <w:r w:rsidR="00572820" w:rsidRPr="00572820">
        <w:rPr>
          <w:rFonts w:ascii="Times New Roman" w:hAnsi="Times New Roman"/>
          <w:bCs/>
          <w:sz w:val="24"/>
          <w:szCs w:val="24"/>
          <w:lang w:val="lv-LV"/>
        </w:rPr>
        <w:t>, salīdzinot ar iepriekšējā gada atbilstošo periodu, samazinājās par 0,5</w:t>
      </w:r>
      <w:r w:rsidR="00572820">
        <w:rPr>
          <w:rFonts w:ascii="Times New Roman" w:hAnsi="Times New Roman"/>
          <w:bCs/>
          <w:sz w:val="24"/>
          <w:szCs w:val="24"/>
          <w:lang w:val="lv-LV"/>
        </w:rPr>
        <w:t>%</w:t>
      </w:r>
      <w:r w:rsidR="00572820" w:rsidRPr="00572820">
        <w:rPr>
          <w:rFonts w:ascii="Times New Roman" w:hAnsi="Times New Roman"/>
          <w:bCs/>
          <w:sz w:val="24"/>
          <w:szCs w:val="24"/>
          <w:lang w:val="lv-LV"/>
        </w:rPr>
        <w:t xml:space="preserve">. </w:t>
      </w:r>
      <w:r w:rsidR="00EA0A84">
        <w:rPr>
          <w:rFonts w:ascii="Times New Roman" w:hAnsi="Times New Roman"/>
          <w:bCs/>
          <w:sz w:val="24"/>
          <w:szCs w:val="24"/>
          <w:lang w:val="lv-LV"/>
        </w:rPr>
        <w:t>P</w:t>
      </w:r>
      <w:r w:rsidR="00EA0A84" w:rsidRPr="00EA0A84">
        <w:rPr>
          <w:rFonts w:ascii="Times New Roman" w:hAnsi="Times New Roman"/>
          <w:bCs/>
          <w:sz w:val="24"/>
          <w:szCs w:val="24"/>
          <w:lang w:val="lv-LV"/>
        </w:rPr>
        <w:t xml:space="preserve">ēdējos </w:t>
      </w:r>
      <w:r w:rsidR="00EA0A84">
        <w:rPr>
          <w:rFonts w:ascii="Times New Roman" w:hAnsi="Times New Roman"/>
          <w:bCs/>
          <w:sz w:val="24"/>
          <w:szCs w:val="24"/>
          <w:lang w:val="lv-LV"/>
        </w:rPr>
        <w:t>piecos</w:t>
      </w:r>
      <w:r w:rsidR="00EA0A84" w:rsidRPr="00EA0A84">
        <w:rPr>
          <w:rFonts w:ascii="Times New Roman" w:hAnsi="Times New Roman"/>
          <w:bCs/>
          <w:sz w:val="24"/>
          <w:szCs w:val="24"/>
          <w:lang w:val="lv-LV"/>
        </w:rPr>
        <w:t xml:space="preserve"> gados </w:t>
      </w:r>
      <w:r w:rsidR="00EA0A84">
        <w:rPr>
          <w:rFonts w:ascii="Times New Roman" w:hAnsi="Times New Roman"/>
          <w:bCs/>
          <w:sz w:val="24"/>
          <w:szCs w:val="24"/>
          <w:lang w:val="lv-LV"/>
        </w:rPr>
        <w:t>p</w:t>
      </w:r>
      <w:r w:rsidR="00EA0A84" w:rsidRPr="00EA0A84">
        <w:rPr>
          <w:rFonts w:ascii="Times New Roman" w:hAnsi="Times New Roman"/>
          <w:bCs/>
          <w:sz w:val="24"/>
          <w:szCs w:val="24"/>
          <w:lang w:val="lv-LV"/>
        </w:rPr>
        <w:t xml:space="preserve">roduktivitātes dinamika Latvijā ir bijusi gandrīz </w:t>
      </w:r>
      <w:r w:rsidR="00EA0A84">
        <w:rPr>
          <w:rFonts w:ascii="Times New Roman" w:hAnsi="Times New Roman"/>
          <w:bCs/>
          <w:sz w:val="24"/>
          <w:szCs w:val="24"/>
          <w:lang w:val="lv-LV"/>
        </w:rPr>
        <w:t>6</w:t>
      </w:r>
      <w:r w:rsidR="00EA0A84" w:rsidRPr="00EA0A84">
        <w:rPr>
          <w:rFonts w:ascii="Times New Roman" w:hAnsi="Times New Roman"/>
          <w:bCs/>
          <w:sz w:val="24"/>
          <w:szCs w:val="24"/>
          <w:lang w:val="lv-LV"/>
        </w:rPr>
        <w:t xml:space="preserve"> reizes straujāka nekā vidēji ES</w:t>
      </w:r>
      <w:r w:rsidR="00DE2C49">
        <w:rPr>
          <w:rFonts w:ascii="Times New Roman" w:hAnsi="Times New Roman"/>
          <w:bCs/>
          <w:sz w:val="24"/>
          <w:szCs w:val="24"/>
          <w:lang w:val="lv-LV"/>
        </w:rPr>
        <w:t xml:space="preserve">, </w:t>
      </w:r>
      <w:r w:rsidR="00EA0A84" w:rsidRPr="00EA0A84">
        <w:rPr>
          <w:rFonts w:ascii="Times New Roman" w:hAnsi="Times New Roman"/>
          <w:bCs/>
          <w:sz w:val="24"/>
          <w:szCs w:val="24"/>
          <w:lang w:val="lv-LV"/>
        </w:rPr>
        <w:t>nodrošin</w:t>
      </w:r>
      <w:r w:rsidR="00DE2C49">
        <w:rPr>
          <w:rFonts w:ascii="Times New Roman" w:hAnsi="Times New Roman"/>
          <w:bCs/>
          <w:sz w:val="24"/>
          <w:szCs w:val="24"/>
          <w:lang w:val="lv-LV"/>
        </w:rPr>
        <w:t>ot</w:t>
      </w:r>
      <w:r w:rsidR="00EA0A84" w:rsidRPr="00EA0A84">
        <w:rPr>
          <w:rFonts w:ascii="Times New Roman" w:hAnsi="Times New Roman"/>
          <w:bCs/>
          <w:sz w:val="24"/>
          <w:szCs w:val="24"/>
          <w:lang w:val="lv-LV"/>
        </w:rPr>
        <w:t xml:space="preserve"> produktivitātes konverģenci tuvāk ES vidējam līmenim. IKP uz vienu nodarbināto faktiskajās cenās Latvijas tautsaimniecībā 2022. gadā bija 60,1% (75,</w:t>
      </w:r>
      <w:r w:rsidR="00DE2C49">
        <w:rPr>
          <w:rFonts w:ascii="Times New Roman" w:hAnsi="Times New Roman"/>
          <w:bCs/>
          <w:sz w:val="24"/>
          <w:szCs w:val="24"/>
          <w:lang w:val="lv-LV"/>
        </w:rPr>
        <w:t>3%</w:t>
      </w:r>
      <w:r w:rsidR="00EA0A84" w:rsidRPr="00EA0A84">
        <w:rPr>
          <w:rFonts w:ascii="Times New Roman" w:hAnsi="Times New Roman"/>
          <w:bCs/>
          <w:sz w:val="24"/>
          <w:szCs w:val="24"/>
          <w:lang w:val="lv-LV"/>
        </w:rPr>
        <w:t xml:space="preserve"> pēc PPS) no vidējā ES līmeņa</w:t>
      </w:r>
      <w:r w:rsidR="00DE2C49">
        <w:rPr>
          <w:rFonts w:ascii="Times New Roman" w:hAnsi="Times New Roman"/>
          <w:bCs/>
          <w:sz w:val="24"/>
          <w:szCs w:val="24"/>
          <w:lang w:val="lv-LV"/>
        </w:rPr>
        <w:t xml:space="preserve">. </w:t>
      </w:r>
      <w:r w:rsidR="00DE2C49" w:rsidRPr="00DE2C49">
        <w:rPr>
          <w:rFonts w:ascii="Times New Roman" w:hAnsi="Times New Roman"/>
          <w:bCs/>
          <w:sz w:val="24"/>
          <w:szCs w:val="24"/>
          <w:lang w:val="lv-LV"/>
        </w:rPr>
        <w:t>Kopš 201</w:t>
      </w:r>
      <w:r w:rsidR="00DE2C49">
        <w:rPr>
          <w:rFonts w:ascii="Times New Roman" w:hAnsi="Times New Roman"/>
          <w:bCs/>
          <w:sz w:val="24"/>
          <w:szCs w:val="24"/>
          <w:lang w:val="lv-LV"/>
        </w:rPr>
        <w:t>7</w:t>
      </w:r>
      <w:r w:rsidR="00DE2C49" w:rsidRPr="00DE2C49">
        <w:rPr>
          <w:rFonts w:ascii="Times New Roman" w:hAnsi="Times New Roman"/>
          <w:bCs/>
          <w:sz w:val="24"/>
          <w:szCs w:val="24"/>
          <w:lang w:val="lv-LV"/>
        </w:rPr>
        <w:t xml:space="preserve">.gada produktivitātes plaisa ar ES vidējo līmeni (pēc PPS) ir samazinājusies par gandrīz </w:t>
      </w:r>
      <w:r w:rsidR="00DE2C49">
        <w:rPr>
          <w:rFonts w:ascii="Times New Roman" w:hAnsi="Times New Roman"/>
          <w:bCs/>
          <w:sz w:val="24"/>
          <w:szCs w:val="24"/>
          <w:lang w:val="lv-LV"/>
        </w:rPr>
        <w:t>8</w:t>
      </w:r>
      <w:r w:rsidR="00DE2C49" w:rsidRPr="00DE2C49">
        <w:rPr>
          <w:rFonts w:ascii="Times New Roman" w:hAnsi="Times New Roman"/>
          <w:bCs/>
          <w:sz w:val="24"/>
          <w:szCs w:val="24"/>
          <w:lang w:val="lv-LV"/>
        </w:rPr>
        <w:t xml:space="preserve"> procentpunktiem.  </w:t>
      </w:r>
    </w:p>
    <w:p w14:paraId="2120BD4F" w14:textId="775AC04F" w:rsidR="00607319" w:rsidRPr="00F94CD0" w:rsidRDefault="00607319" w:rsidP="000D3CD8">
      <w:pPr>
        <w:pStyle w:val="BodyText2"/>
        <w:spacing w:before="120" w:after="0" w:line="240" w:lineRule="auto"/>
        <w:ind w:firstLine="425"/>
        <w:jc w:val="both"/>
        <w:rPr>
          <w:rFonts w:ascii="Times New Roman" w:hAnsi="Times New Roman"/>
          <w:bCs/>
          <w:sz w:val="24"/>
          <w:szCs w:val="24"/>
          <w:lang w:val="lv-LV"/>
        </w:rPr>
      </w:pPr>
      <w:r w:rsidRPr="00EE7406">
        <w:rPr>
          <w:rFonts w:ascii="Times New Roman" w:hAnsi="Times New Roman"/>
          <w:b/>
          <w:sz w:val="24"/>
          <w:szCs w:val="24"/>
          <w:lang w:val="lv-LV"/>
        </w:rPr>
        <w:t>Darbaspēka izmaksas turpina pieaugt.</w:t>
      </w:r>
      <w:r w:rsidRPr="00EE7406">
        <w:rPr>
          <w:rFonts w:ascii="Times New Roman" w:hAnsi="Times New Roman"/>
          <w:bCs/>
          <w:sz w:val="24"/>
          <w:szCs w:val="24"/>
          <w:lang w:val="lv-LV"/>
        </w:rPr>
        <w:t xml:space="preserve"> Ekonomisko aktivitāšu palielināšanās dēļ darbaspēka izmaksas 2021.gadā strauji pieauga, par 11</w:t>
      </w:r>
      <w:r w:rsidR="008D4432" w:rsidRPr="00EE7406">
        <w:rPr>
          <w:rFonts w:ascii="Times New Roman" w:hAnsi="Times New Roman"/>
          <w:bCs/>
          <w:sz w:val="24"/>
          <w:szCs w:val="24"/>
          <w:lang w:val="lv-LV"/>
        </w:rPr>
        <w:t>,1</w:t>
      </w:r>
      <w:r w:rsidRPr="00EE7406">
        <w:rPr>
          <w:rFonts w:ascii="Times New Roman" w:hAnsi="Times New Roman"/>
          <w:bCs/>
          <w:sz w:val="24"/>
          <w:szCs w:val="24"/>
          <w:lang w:val="lv-LV"/>
        </w:rPr>
        <w:t>% pārsniedzot iepriekšējā gada līmeni. Tas neradīja būtisku spiedienu uz darbaspēka vienības izmaksām</w:t>
      </w:r>
      <w:r w:rsidR="00EE7406">
        <w:rPr>
          <w:rFonts w:ascii="Times New Roman" w:hAnsi="Times New Roman"/>
          <w:bCs/>
          <w:sz w:val="24"/>
          <w:szCs w:val="24"/>
          <w:lang w:val="lv-LV"/>
        </w:rPr>
        <w:t xml:space="preserve"> (ULC)</w:t>
      </w:r>
      <w:r w:rsidRPr="00EE7406">
        <w:rPr>
          <w:rFonts w:ascii="Times New Roman" w:hAnsi="Times New Roman"/>
          <w:bCs/>
          <w:sz w:val="24"/>
          <w:szCs w:val="24"/>
          <w:lang w:val="lv-LV"/>
        </w:rPr>
        <w:t xml:space="preserve">, jo vienlaikus pieauga produktivitāte, un ULC palielinājās tikai par </w:t>
      </w:r>
      <w:r w:rsidR="004A7F17" w:rsidRPr="00EE7406">
        <w:rPr>
          <w:rFonts w:ascii="Times New Roman" w:hAnsi="Times New Roman"/>
          <w:bCs/>
          <w:sz w:val="24"/>
          <w:szCs w:val="24"/>
          <w:lang w:val="lv-LV"/>
        </w:rPr>
        <w:t>3,8</w:t>
      </w:r>
      <w:r w:rsidRPr="00EE7406">
        <w:rPr>
          <w:rFonts w:ascii="Times New Roman" w:hAnsi="Times New Roman"/>
          <w:bCs/>
          <w:sz w:val="24"/>
          <w:szCs w:val="24"/>
          <w:lang w:val="lv-LV"/>
        </w:rPr>
        <w:t>%. 2022.gadā</w:t>
      </w:r>
      <w:r w:rsidR="004A7F17" w:rsidRPr="00EE7406">
        <w:rPr>
          <w:rFonts w:ascii="Times New Roman" w:hAnsi="Times New Roman"/>
          <w:bCs/>
          <w:sz w:val="24"/>
          <w:szCs w:val="24"/>
          <w:lang w:val="lv-LV"/>
        </w:rPr>
        <w:t xml:space="preserve"> darbaspēka izmaksas pieauga nedaudz lēnāk </w:t>
      </w:r>
      <w:r w:rsidR="001A1D4B" w:rsidRPr="00EE7406">
        <w:rPr>
          <w:rFonts w:ascii="Times New Roman" w:hAnsi="Times New Roman"/>
          <w:bCs/>
          <w:sz w:val="24"/>
          <w:szCs w:val="24"/>
          <w:lang w:val="lv-LV"/>
        </w:rPr>
        <w:t>- par 9%. T</w:t>
      </w:r>
      <w:r w:rsidR="004A7F17" w:rsidRPr="00EE7406">
        <w:rPr>
          <w:rFonts w:ascii="Times New Roman" w:hAnsi="Times New Roman"/>
          <w:bCs/>
          <w:sz w:val="24"/>
          <w:szCs w:val="24"/>
          <w:lang w:val="lv-LV"/>
        </w:rPr>
        <w:t>omēr</w:t>
      </w:r>
      <w:r w:rsidR="001A1D4B" w:rsidRPr="00EE7406">
        <w:rPr>
          <w:rFonts w:ascii="Times New Roman" w:hAnsi="Times New Roman"/>
          <w:bCs/>
          <w:sz w:val="24"/>
          <w:szCs w:val="24"/>
          <w:lang w:val="lv-LV"/>
        </w:rPr>
        <w:t>,</w:t>
      </w:r>
      <w:r w:rsidR="004A7F17" w:rsidRPr="00EE7406">
        <w:rPr>
          <w:rFonts w:ascii="Times New Roman" w:hAnsi="Times New Roman"/>
          <w:bCs/>
          <w:sz w:val="24"/>
          <w:szCs w:val="24"/>
          <w:lang w:val="lv-LV"/>
        </w:rPr>
        <w:t xml:space="preserve"> produktivitātei saglabājoties iepriekšējā gada līmenī</w:t>
      </w:r>
      <w:r w:rsidR="001A1D4B" w:rsidRPr="00EE7406">
        <w:rPr>
          <w:rFonts w:ascii="Times New Roman" w:hAnsi="Times New Roman"/>
          <w:bCs/>
          <w:sz w:val="24"/>
          <w:szCs w:val="24"/>
          <w:lang w:val="lv-LV"/>
        </w:rPr>
        <w:t>,</w:t>
      </w:r>
      <w:r w:rsidR="004A7F17" w:rsidRPr="00EE7406">
        <w:rPr>
          <w:rFonts w:ascii="Times New Roman" w:hAnsi="Times New Roman"/>
          <w:bCs/>
          <w:sz w:val="24"/>
          <w:szCs w:val="24"/>
          <w:lang w:val="lv-LV"/>
        </w:rPr>
        <w:t xml:space="preserve"> tas </w:t>
      </w:r>
      <w:r w:rsidR="00572820" w:rsidRPr="00EE7406">
        <w:rPr>
          <w:rFonts w:ascii="Times New Roman" w:hAnsi="Times New Roman"/>
          <w:bCs/>
          <w:sz w:val="24"/>
          <w:szCs w:val="24"/>
          <w:lang w:val="lv-LV"/>
        </w:rPr>
        <w:t>būtiski</w:t>
      </w:r>
      <w:r w:rsidR="004A7F17" w:rsidRPr="00EE7406">
        <w:rPr>
          <w:rFonts w:ascii="Times New Roman" w:hAnsi="Times New Roman"/>
          <w:bCs/>
          <w:sz w:val="24"/>
          <w:szCs w:val="24"/>
          <w:lang w:val="lv-LV"/>
        </w:rPr>
        <w:t xml:space="preserve"> </w:t>
      </w:r>
      <w:r w:rsidR="00572820" w:rsidRPr="00EE7406">
        <w:rPr>
          <w:rFonts w:ascii="Times New Roman" w:hAnsi="Times New Roman"/>
          <w:bCs/>
          <w:sz w:val="24"/>
          <w:szCs w:val="24"/>
          <w:lang w:val="lv-LV"/>
        </w:rPr>
        <w:t xml:space="preserve">pasliktināja </w:t>
      </w:r>
      <w:r w:rsidR="004A7F17" w:rsidRPr="00EE7406">
        <w:rPr>
          <w:rFonts w:ascii="Times New Roman" w:hAnsi="Times New Roman"/>
          <w:bCs/>
          <w:sz w:val="24"/>
          <w:szCs w:val="24"/>
          <w:lang w:val="lv-LV"/>
        </w:rPr>
        <w:t>izmaksu konkurētspējas rādītāju</w:t>
      </w:r>
      <w:r w:rsidR="001A1D4B" w:rsidRPr="00EE7406">
        <w:rPr>
          <w:rFonts w:ascii="Times New Roman" w:hAnsi="Times New Roman"/>
          <w:bCs/>
          <w:sz w:val="24"/>
          <w:szCs w:val="24"/>
          <w:lang w:val="lv-LV"/>
        </w:rPr>
        <w:t xml:space="preserve"> un</w:t>
      </w:r>
      <w:r w:rsidR="004A7F17" w:rsidRPr="00EE7406">
        <w:rPr>
          <w:rFonts w:ascii="Times New Roman" w:hAnsi="Times New Roman"/>
          <w:bCs/>
          <w:sz w:val="24"/>
          <w:szCs w:val="24"/>
          <w:lang w:val="lv-LV"/>
        </w:rPr>
        <w:t xml:space="preserve"> nominālais ULC palielinājās par 9%, </w:t>
      </w:r>
      <w:r w:rsidRPr="00EE7406">
        <w:rPr>
          <w:rFonts w:ascii="Times New Roman" w:hAnsi="Times New Roman"/>
          <w:bCs/>
          <w:sz w:val="24"/>
          <w:szCs w:val="24"/>
          <w:lang w:val="lv-LV"/>
        </w:rPr>
        <w:t>kas bija straujāk</w:t>
      </w:r>
      <w:r w:rsidR="000D3CD8">
        <w:rPr>
          <w:rFonts w:ascii="Times New Roman" w:hAnsi="Times New Roman"/>
          <w:bCs/>
          <w:sz w:val="24"/>
          <w:szCs w:val="24"/>
          <w:lang w:val="lv-LV"/>
        </w:rPr>
        <w:t>ai</w:t>
      </w:r>
      <w:r w:rsidRPr="00EE7406">
        <w:rPr>
          <w:rFonts w:ascii="Times New Roman" w:hAnsi="Times New Roman"/>
          <w:bCs/>
          <w:sz w:val="24"/>
          <w:szCs w:val="24"/>
          <w:lang w:val="lv-LV"/>
        </w:rPr>
        <w:t xml:space="preserve">s ULC kāpums pēdējos desmit gados. </w:t>
      </w:r>
      <w:r w:rsidR="00572820" w:rsidRPr="00EE7406">
        <w:rPr>
          <w:rFonts w:ascii="Times New Roman" w:hAnsi="Times New Roman"/>
          <w:bCs/>
          <w:sz w:val="24"/>
          <w:szCs w:val="24"/>
          <w:lang w:val="lv-LV"/>
        </w:rPr>
        <w:t xml:space="preserve">Arī 2023.gadā darbaspēka izmaksas strauji aug. Šī gada </w:t>
      </w:r>
      <w:r w:rsidRPr="00EE7406">
        <w:rPr>
          <w:rFonts w:ascii="Times New Roman" w:hAnsi="Times New Roman"/>
          <w:bCs/>
          <w:sz w:val="24"/>
          <w:szCs w:val="24"/>
          <w:lang w:val="lv-LV"/>
        </w:rPr>
        <w:t>1.pusgadā</w:t>
      </w:r>
      <w:r w:rsidR="00572820" w:rsidRPr="00EE7406">
        <w:rPr>
          <w:rFonts w:ascii="Times New Roman" w:hAnsi="Times New Roman"/>
          <w:bCs/>
          <w:sz w:val="24"/>
          <w:szCs w:val="24"/>
          <w:lang w:val="lv-LV"/>
        </w:rPr>
        <w:t>, salīdzinot ar iepriekšējā gada atbilstošo periodu,</w:t>
      </w:r>
      <w:r w:rsidRPr="00EE7406">
        <w:rPr>
          <w:rFonts w:ascii="Times New Roman" w:hAnsi="Times New Roman"/>
          <w:bCs/>
          <w:sz w:val="24"/>
          <w:szCs w:val="24"/>
          <w:lang w:val="lv-LV"/>
        </w:rPr>
        <w:t xml:space="preserve"> </w:t>
      </w:r>
      <w:r w:rsidR="00572820" w:rsidRPr="00EE7406">
        <w:rPr>
          <w:rFonts w:ascii="Times New Roman" w:hAnsi="Times New Roman"/>
          <w:bCs/>
          <w:sz w:val="24"/>
          <w:szCs w:val="24"/>
          <w:lang w:val="lv-LV"/>
        </w:rPr>
        <w:t xml:space="preserve">darbaspēka izmaksas pieauga par 13%. </w:t>
      </w:r>
      <w:r w:rsidR="00EE7406" w:rsidRPr="00EE7406">
        <w:rPr>
          <w:rFonts w:ascii="Times New Roman" w:hAnsi="Times New Roman"/>
          <w:bCs/>
          <w:sz w:val="24"/>
          <w:szCs w:val="24"/>
          <w:lang w:val="lv-LV"/>
        </w:rPr>
        <w:t xml:space="preserve">Produktivitātes </w:t>
      </w:r>
      <w:r w:rsidR="00EE7406">
        <w:rPr>
          <w:rFonts w:ascii="Times New Roman" w:hAnsi="Times New Roman"/>
          <w:bCs/>
          <w:sz w:val="24"/>
          <w:szCs w:val="24"/>
          <w:lang w:val="lv-LV"/>
        </w:rPr>
        <w:t>stagnācijas</w:t>
      </w:r>
      <w:r w:rsidR="00EE7406" w:rsidRPr="00EE7406">
        <w:rPr>
          <w:rFonts w:ascii="Times New Roman" w:hAnsi="Times New Roman"/>
          <w:bCs/>
          <w:sz w:val="24"/>
          <w:szCs w:val="24"/>
          <w:lang w:val="lv-LV"/>
        </w:rPr>
        <w:t xml:space="preserve"> apstākļos darbaspēka izmaksas rada būtisku spiedienu uz Latvijas uzņēmēju izmaksu konkurētspēju. </w:t>
      </w:r>
    </w:p>
    <w:p w14:paraId="1E81B630" w14:textId="77777777" w:rsidR="00D0270C" w:rsidRDefault="00D0270C" w:rsidP="003655F1">
      <w:pPr>
        <w:pStyle w:val="BodyText2"/>
        <w:spacing w:after="0" w:line="240" w:lineRule="auto"/>
        <w:ind w:firstLine="426"/>
        <w:jc w:val="both"/>
        <w:rPr>
          <w:rFonts w:ascii="Times New Roman" w:hAnsi="Times New Roman"/>
          <w:b/>
          <w:sz w:val="24"/>
          <w:szCs w:val="24"/>
          <w:lang w:val="lv-LV"/>
        </w:rPr>
      </w:pPr>
    </w:p>
    <w:p w14:paraId="2510CB01" w14:textId="75400F9B" w:rsidR="003655F1" w:rsidRDefault="00345C63" w:rsidP="003655F1">
      <w:pPr>
        <w:pStyle w:val="BodyText2"/>
        <w:spacing w:after="0" w:line="240" w:lineRule="auto"/>
        <w:ind w:firstLine="426"/>
        <w:jc w:val="both"/>
        <w:rPr>
          <w:rFonts w:ascii="Times New Roman" w:hAnsi="Times New Roman"/>
          <w:bCs/>
          <w:sz w:val="24"/>
          <w:szCs w:val="24"/>
          <w:lang w:val="lv-LV"/>
        </w:rPr>
      </w:pPr>
      <w:r w:rsidRPr="00345C63">
        <w:rPr>
          <w:rFonts w:ascii="Times New Roman" w:hAnsi="Times New Roman"/>
          <w:b/>
          <w:sz w:val="24"/>
          <w:szCs w:val="24"/>
          <w:lang w:val="lv-LV"/>
        </w:rPr>
        <w:t xml:space="preserve">Sagaidāms, ka arī 2023.gada 2.pusgadā būs vērojami mēreni pieauguma tempi, bet 2024.gadā ekonomika sāks pieaugt nedaudz straujāk. </w:t>
      </w:r>
      <w:r w:rsidRPr="00345C63">
        <w:rPr>
          <w:rFonts w:ascii="Times New Roman" w:hAnsi="Times New Roman"/>
          <w:bCs/>
          <w:sz w:val="24"/>
          <w:szCs w:val="24"/>
          <w:lang w:val="lv-LV"/>
        </w:rPr>
        <w:t>Ekonomikas ministrija prognozē, ka kopumā 2023.gadā IKP saglabāsies tuvu 2022</w:t>
      </w:r>
      <w:r w:rsidR="00543FF3">
        <w:rPr>
          <w:rFonts w:ascii="Times New Roman" w:hAnsi="Times New Roman"/>
          <w:bCs/>
          <w:sz w:val="24"/>
          <w:szCs w:val="24"/>
          <w:lang w:val="lv-LV"/>
        </w:rPr>
        <w:t>.</w:t>
      </w:r>
      <w:r w:rsidRPr="00345C63">
        <w:rPr>
          <w:rFonts w:ascii="Times New Roman" w:hAnsi="Times New Roman"/>
          <w:bCs/>
          <w:sz w:val="24"/>
          <w:szCs w:val="24"/>
          <w:lang w:val="lv-LV"/>
        </w:rPr>
        <w:t>gada apjomiem</w:t>
      </w:r>
      <w:r w:rsidR="00F72860">
        <w:rPr>
          <w:rFonts w:ascii="Times New Roman" w:hAnsi="Times New Roman"/>
          <w:bCs/>
          <w:sz w:val="24"/>
          <w:szCs w:val="24"/>
          <w:lang w:val="lv-LV"/>
        </w:rPr>
        <w:t>, bet 2024.gadā IKP pieaugums būs 3,9%</w:t>
      </w:r>
      <w:r w:rsidRPr="00345C63">
        <w:rPr>
          <w:rFonts w:ascii="Times New Roman" w:hAnsi="Times New Roman"/>
          <w:bCs/>
          <w:sz w:val="24"/>
          <w:szCs w:val="24"/>
          <w:lang w:val="lv-LV"/>
        </w:rPr>
        <w:t>.</w:t>
      </w:r>
      <w:r w:rsidR="003655F1" w:rsidRPr="003655F1">
        <w:rPr>
          <w:rFonts w:ascii="Times New Roman" w:hAnsi="Times New Roman"/>
          <w:bCs/>
          <w:sz w:val="24"/>
          <w:szCs w:val="24"/>
          <w:lang w:val="lv-LV"/>
        </w:rPr>
        <w:t xml:space="preserve"> </w:t>
      </w:r>
    </w:p>
    <w:p w14:paraId="0DE69F88" w14:textId="77777777" w:rsidR="00345C63" w:rsidRDefault="003655F1" w:rsidP="003655F1">
      <w:pPr>
        <w:pStyle w:val="BodyText2"/>
        <w:spacing w:after="0" w:line="240" w:lineRule="auto"/>
        <w:ind w:firstLine="426"/>
        <w:jc w:val="both"/>
        <w:rPr>
          <w:rFonts w:ascii="Times New Roman" w:hAnsi="Times New Roman"/>
          <w:bCs/>
          <w:sz w:val="24"/>
          <w:szCs w:val="24"/>
          <w:lang w:val="lv-LV"/>
        </w:rPr>
      </w:pPr>
      <w:r w:rsidRPr="00F94CD0">
        <w:rPr>
          <w:rFonts w:ascii="Times New Roman" w:hAnsi="Times New Roman"/>
          <w:bCs/>
          <w:sz w:val="24"/>
          <w:szCs w:val="24"/>
          <w:lang w:val="lv-LV"/>
        </w:rPr>
        <w:t xml:space="preserve">Ekonomikas tālākā attīstība vidēja termiņa periodā ir atkarīga no situācijas ārējā vidē un reformu gaitas. </w:t>
      </w:r>
      <w:r w:rsidR="00345C63" w:rsidRPr="00345C63">
        <w:rPr>
          <w:rFonts w:ascii="Times New Roman" w:hAnsi="Times New Roman"/>
          <w:bCs/>
          <w:sz w:val="24"/>
          <w:szCs w:val="24"/>
          <w:lang w:val="lv-LV"/>
        </w:rPr>
        <w:t>Lielākais Latvijas izaugsmes risks saistīts ar globālās ekonomikas attīstību, īpaši ģeopolitisko situāciju. Tāpat svarīga ir ES kopējās ekonomikas telpas turpmākā attīstība. Latvijas ekonomiskās priekšrocības vidējā termiņā galvenokārt balstīsies uz panākto makroekonomisko stabilitāti, kā rezultātā ir uzlabojušies Latvijas kredītreitingi, kā arī uz plānoto ES atbalsta programmu efektivitāti un uzlabojumiem uzņēmējdarbības vidē.</w:t>
      </w:r>
    </w:p>
    <w:p w14:paraId="283C2FF4" w14:textId="4B11F037" w:rsidR="003655F1" w:rsidRPr="00F94CD0" w:rsidRDefault="00345C63" w:rsidP="003655F1">
      <w:pPr>
        <w:pStyle w:val="BodyText2"/>
        <w:spacing w:after="0" w:line="240" w:lineRule="auto"/>
        <w:ind w:firstLine="426"/>
        <w:jc w:val="both"/>
        <w:rPr>
          <w:rFonts w:ascii="Times New Roman" w:hAnsi="Times New Roman"/>
          <w:bCs/>
          <w:sz w:val="24"/>
          <w:szCs w:val="24"/>
          <w:lang w:val="lv-LV"/>
        </w:rPr>
      </w:pPr>
      <w:r w:rsidRPr="00345C63">
        <w:rPr>
          <w:rFonts w:ascii="Times New Roman" w:hAnsi="Times New Roman"/>
          <w:bCs/>
          <w:sz w:val="24"/>
          <w:szCs w:val="24"/>
          <w:lang w:val="lv-LV"/>
        </w:rPr>
        <w:t>Latvijas ekonomikas konkurētspējas priekšrocības pamatā balstās uz tehnoloģiskiem faktoriem, ražošanas efektivitātes uzlabošanu un inovācijām, mazākā mērā uz lētu darbaspēku un zemām resursu cenām. Vidēja termiņa periodā Latvijas izaugsmes tempi var sasniegt 4-5% pieaugumu gadā. Ieilgstot karam Ukrainā, ekonomikas atveseļošanās tempi varētu būt lēnāki.</w:t>
      </w:r>
    </w:p>
    <w:p w14:paraId="5C358494" w14:textId="28086D39" w:rsidR="00F94CD0" w:rsidRPr="00F94CD0" w:rsidRDefault="00F94CD0" w:rsidP="00F94CD0">
      <w:pPr>
        <w:pStyle w:val="BodyText2"/>
        <w:spacing w:after="0" w:line="240" w:lineRule="auto"/>
        <w:ind w:firstLine="426"/>
        <w:jc w:val="both"/>
        <w:rPr>
          <w:rFonts w:ascii="Times New Roman" w:hAnsi="Times New Roman"/>
          <w:bCs/>
          <w:sz w:val="24"/>
          <w:szCs w:val="24"/>
          <w:lang w:val="lv-LV"/>
        </w:rPr>
      </w:pPr>
    </w:p>
    <w:p w14:paraId="31D56D98" w14:textId="46940B31" w:rsidR="00D0270C" w:rsidRDefault="00D0270C" w:rsidP="000674E9">
      <w:pPr>
        <w:pStyle w:val="BodyText2"/>
        <w:spacing w:after="0" w:line="240" w:lineRule="auto"/>
        <w:jc w:val="center"/>
        <w:rPr>
          <w:rFonts w:ascii="Times New Roman" w:hAnsi="Times New Roman"/>
          <w:b/>
          <w:sz w:val="24"/>
          <w:szCs w:val="24"/>
          <w:lang w:val="lv-LV"/>
        </w:rPr>
      </w:pPr>
    </w:p>
    <w:p w14:paraId="387E2D0B" w14:textId="5B92DB75" w:rsidR="00E3667C" w:rsidRDefault="00E3667C" w:rsidP="000674E9">
      <w:pPr>
        <w:pStyle w:val="BodyText2"/>
        <w:spacing w:after="0" w:line="240" w:lineRule="auto"/>
        <w:jc w:val="center"/>
        <w:rPr>
          <w:rFonts w:ascii="Times New Roman" w:hAnsi="Times New Roman"/>
          <w:b/>
          <w:sz w:val="24"/>
          <w:szCs w:val="24"/>
          <w:lang w:val="lv-LV"/>
        </w:rPr>
      </w:pPr>
    </w:p>
    <w:p w14:paraId="2BF9F6E4" w14:textId="2F814512" w:rsidR="00E3667C" w:rsidRDefault="00E3667C" w:rsidP="000674E9">
      <w:pPr>
        <w:pStyle w:val="BodyText2"/>
        <w:spacing w:after="0" w:line="240" w:lineRule="auto"/>
        <w:jc w:val="center"/>
        <w:rPr>
          <w:rFonts w:ascii="Times New Roman" w:hAnsi="Times New Roman"/>
          <w:b/>
          <w:sz w:val="24"/>
          <w:szCs w:val="24"/>
          <w:lang w:val="lv-LV"/>
        </w:rPr>
      </w:pPr>
    </w:p>
    <w:p w14:paraId="0D439EE1" w14:textId="77777777" w:rsidR="00E3667C" w:rsidRDefault="00E3667C" w:rsidP="000674E9">
      <w:pPr>
        <w:pStyle w:val="BodyText2"/>
        <w:spacing w:after="0" w:line="240" w:lineRule="auto"/>
        <w:jc w:val="center"/>
        <w:rPr>
          <w:rFonts w:ascii="Times New Roman" w:hAnsi="Times New Roman"/>
          <w:b/>
          <w:sz w:val="24"/>
          <w:szCs w:val="24"/>
          <w:lang w:val="lv-LV"/>
        </w:rPr>
      </w:pPr>
    </w:p>
    <w:p w14:paraId="0258225A" w14:textId="77777777" w:rsidR="005A4028" w:rsidRDefault="005A4028">
      <w:pPr>
        <w:widowControl/>
        <w:spacing w:after="160" w:line="259" w:lineRule="auto"/>
        <w:rPr>
          <w:rFonts w:ascii="Times New Roman" w:hAnsi="Times New Roman"/>
          <w:b/>
          <w:sz w:val="24"/>
          <w:szCs w:val="24"/>
          <w:lang w:val="lv-LV"/>
        </w:rPr>
      </w:pPr>
      <w:r>
        <w:rPr>
          <w:rFonts w:ascii="Times New Roman" w:hAnsi="Times New Roman"/>
          <w:b/>
          <w:sz w:val="24"/>
          <w:szCs w:val="24"/>
          <w:lang w:val="lv-LV"/>
        </w:rPr>
        <w:br w:type="page"/>
      </w:r>
    </w:p>
    <w:p w14:paraId="3CCFC663" w14:textId="3E8152F4" w:rsidR="000674E9" w:rsidRDefault="000674E9" w:rsidP="00E3667C">
      <w:pPr>
        <w:pStyle w:val="BodyText2"/>
        <w:spacing w:after="0" w:line="240" w:lineRule="auto"/>
        <w:jc w:val="center"/>
        <w:rPr>
          <w:rFonts w:ascii="Times New Roman" w:hAnsi="Times New Roman"/>
          <w:b/>
          <w:sz w:val="24"/>
          <w:szCs w:val="24"/>
          <w:lang w:val="lv-LV"/>
        </w:rPr>
      </w:pPr>
      <w:r w:rsidRPr="00AE01F2">
        <w:rPr>
          <w:rFonts w:ascii="Times New Roman" w:hAnsi="Times New Roman"/>
          <w:b/>
          <w:sz w:val="24"/>
          <w:szCs w:val="24"/>
          <w:lang w:val="lv-LV"/>
        </w:rPr>
        <w:t>Makroekonomiskie rādītāji 20</w:t>
      </w:r>
      <w:r>
        <w:rPr>
          <w:rFonts w:ascii="Times New Roman" w:hAnsi="Times New Roman"/>
          <w:b/>
          <w:sz w:val="24"/>
          <w:szCs w:val="24"/>
          <w:lang w:val="lv-LV"/>
        </w:rPr>
        <w:t>2</w:t>
      </w:r>
      <w:r w:rsidR="002418CB">
        <w:rPr>
          <w:rFonts w:ascii="Times New Roman" w:hAnsi="Times New Roman"/>
          <w:b/>
          <w:sz w:val="24"/>
          <w:szCs w:val="24"/>
          <w:lang w:val="lv-LV"/>
        </w:rPr>
        <w:t>1</w:t>
      </w:r>
      <w:r w:rsidRPr="00AE01F2">
        <w:rPr>
          <w:rFonts w:ascii="Times New Roman" w:hAnsi="Times New Roman"/>
          <w:b/>
          <w:sz w:val="24"/>
          <w:szCs w:val="24"/>
          <w:lang w:val="lv-LV"/>
        </w:rPr>
        <w:t>. un 20</w:t>
      </w:r>
      <w:r>
        <w:rPr>
          <w:rFonts w:ascii="Times New Roman" w:hAnsi="Times New Roman"/>
          <w:b/>
          <w:sz w:val="24"/>
          <w:szCs w:val="24"/>
          <w:lang w:val="lv-LV"/>
        </w:rPr>
        <w:t>2</w:t>
      </w:r>
      <w:r w:rsidR="002418CB">
        <w:rPr>
          <w:rFonts w:ascii="Times New Roman" w:hAnsi="Times New Roman"/>
          <w:b/>
          <w:sz w:val="24"/>
          <w:szCs w:val="24"/>
          <w:lang w:val="lv-LV"/>
        </w:rPr>
        <w:t>2</w:t>
      </w:r>
      <w:r w:rsidRPr="00AE01F2">
        <w:rPr>
          <w:rFonts w:ascii="Times New Roman" w:hAnsi="Times New Roman"/>
          <w:b/>
          <w:sz w:val="24"/>
          <w:szCs w:val="24"/>
          <w:lang w:val="lv-LV"/>
        </w:rPr>
        <w:t>.</w:t>
      </w:r>
      <w:r>
        <w:rPr>
          <w:rFonts w:ascii="Times New Roman" w:hAnsi="Times New Roman"/>
          <w:b/>
          <w:sz w:val="24"/>
          <w:szCs w:val="24"/>
          <w:lang w:val="lv-LV"/>
        </w:rPr>
        <w:t> </w:t>
      </w:r>
      <w:r w:rsidRPr="00AE01F2">
        <w:rPr>
          <w:rFonts w:ascii="Times New Roman" w:hAnsi="Times New Roman"/>
          <w:b/>
          <w:sz w:val="24"/>
          <w:szCs w:val="24"/>
          <w:lang w:val="lv-LV"/>
        </w:rPr>
        <w:t>gadā un</w:t>
      </w:r>
      <w:r w:rsidR="00E3667C" w:rsidRPr="00E3667C">
        <w:rPr>
          <w:rFonts w:ascii="Times New Roman" w:hAnsi="Times New Roman"/>
          <w:b/>
          <w:sz w:val="24"/>
          <w:szCs w:val="24"/>
          <w:lang w:val="lv-LV"/>
        </w:rPr>
        <w:t xml:space="preserve"> Ekonomikas ministrijas (EM) un Finanšu ministrijas (FM) </w:t>
      </w:r>
      <w:r w:rsidRPr="00AE01F2">
        <w:rPr>
          <w:rFonts w:ascii="Times New Roman" w:hAnsi="Times New Roman"/>
          <w:b/>
          <w:sz w:val="24"/>
          <w:szCs w:val="24"/>
          <w:lang w:val="lv-LV"/>
        </w:rPr>
        <w:t>rādītāju prognozes 20</w:t>
      </w:r>
      <w:r>
        <w:rPr>
          <w:rFonts w:ascii="Times New Roman" w:hAnsi="Times New Roman"/>
          <w:b/>
          <w:sz w:val="24"/>
          <w:szCs w:val="24"/>
          <w:lang w:val="lv-LV"/>
        </w:rPr>
        <w:t>2</w:t>
      </w:r>
      <w:r w:rsidR="002418CB">
        <w:rPr>
          <w:rFonts w:ascii="Times New Roman" w:hAnsi="Times New Roman"/>
          <w:b/>
          <w:sz w:val="24"/>
          <w:szCs w:val="24"/>
          <w:lang w:val="lv-LV"/>
        </w:rPr>
        <w:t>3</w:t>
      </w:r>
      <w:r w:rsidRPr="00AE01F2">
        <w:rPr>
          <w:rFonts w:ascii="Times New Roman" w:hAnsi="Times New Roman"/>
          <w:b/>
          <w:sz w:val="24"/>
          <w:szCs w:val="24"/>
          <w:lang w:val="lv-LV"/>
        </w:rPr>
        <w:t>. un 202</w:t>
      </w:r>
      <w:r w:rsidR="002418CB">
        <w:rPr>
          <w:rFonts w:ascii="Times New Roman" w:hAnsi="Times New Roman"/>
          <w:b/>
          <w:sz w:val="24"/>
          <w:szCs w:val="24"/>
          <w:lang w:val="lv-LV"/>
        </w:rPr>
        <w:t>4</w:t>
      </w:r>
      <w:r w:rsidRPr="00AE01F2">
        <w:rPr>
          <w:rFonts w:ascii="Times New Roman" w:hAnsi="Times New Roman"/>
          <w:b/>
          <w:sz w:val="24"/>
          <w:szCs w:val="24"/>
          <w:lang w:val="lv-LV"/>
        </w:rPr>
        <w:t>.</w:t>
      </w:r>
      <w:r>
        <w:rPr>
          <w:rFonts w:ascii="Times New Roman" w:hAnsi="Times New Roman"/>
          <w:b/>
          <w:sz w:val="24"/>
          <w:szCs w:val="24"/>
          <w:lang w:val="lv-LV"/>
        </w:rPr>
        <w:t> </w:t>
      </w:r>
      <w:r w:rsidRPr="00AE01F2">
        <w:rPr>
          <w:rFonts w:ascii="Times New Roman" w:hAnsi="Times New Roman"/>
          <w:b/>
          <w:sz w:val="24"/>
          <w:szCs w:val="24"/>
          <w:lang w:val="lv-LV"/>
        </w:rPr>
        <w:t>gadam</w:t>
      </w:r>
      <w:r w:rsidR="0057395F">
        <w:rPr>
          <w:rFonts w:ascii="Times New Roman" w:hAnsi="Times New Roman"/>
          <w:b/>
          <w:sz w:val="24"/>
          <w:szCs w:val="24"/>
          <w:lang w:val="lv-LV"/>
        </w:rPr>
        <w:t xml:space="preserve"> </w:t>
      </w:r>
    </w:p>
    <w:p w14:paraId="2452F973" w14:textId="77777777" w:rsidR="002418CB" w:rsidRPr="00AE01F2" w:rsidRDefault="002418CB" w:rsidP="000674E9">
      <w:pPr>
        <w:pStyle w:val="BodyText2"/>
        <w:spacing w:after="0" w:line="240" w:lineRule="auto"/>
        <w:jc w:val="center"/>
        <w:rPr>
          <w:rFonts w:ascii="Times New Roman" w:hAnsi="Times New Roman"/>
          <w:b/>
          <w:sz w:val="24"/>
          <w:szCs w:val="24"/>
          <w:lang w:val="lv-LV"/>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43"/>
        <w:gridCol w:w="955"/>
        <w:gridCol w:w="955"/>
        <w:gridCol w:w="961"/>
        <w:gridCol w:w="1018"/>
        <w:gridCol w:w="929"/>
        <w:gridCol w:w="992"/>
      </w:tblGrid>
      <w:tr w:rsidR="006B785B" w:rsidRPr="00E022DA" w14:paraId="21D17CB3" w14:textId="01275E34" w:rsidTr="006B785B">
        <w:tc>
          <w:tcPr>
            <w:tcW w:w="3404" w:type="dxa"/>
            <w:gridSpan w:val="2"/>
            <w:tcBorders>
              <w:top w:val="nil"/>
              <w:left w:val="nil"/>
              <w:bottom w:val="nil"/>
              <w:right w:val="nil"/>
            </w:tcBorders>
            <w:shd w:val="clear" w:color="auto" w:fill="auto"/>
          </w:tcPr>
          <w:p w14:paraId="7CB0D6E4" w14:textId="77777777" w:rsidR="006B785B" w:rsidRPr="00E022DA" w:rsidRDefault="006B785B" w:rsidP="00CF32FA">
            <w:pPr>
              <w:pStyle w:val="BodyText2"/>
              <w:spacing w:after="0" w:line="240" w:lineRule="auto"/>
              <w:jc w:val="both"/>
              <w:rPr>
                <w:rFonts w:ascii="Times New Roman" w:hAnsi="Times New Roman"/>
                <w:sz w:val="24"/>
                <w:szCs w:val="24"/>
                <w:lang w:val="lv-LV"/>
              </w:rPr>
            </w:pPr>
          </w:p>
        </w:tc>
        <w:tc>
          <w:tcPr>
            <w:tcW w:w="955" w:type="dxa"/>
            <w:tcBorders>
              <w:top w:val="nil"/>
              <w:left w:val="nil"/>
              <w:bottom w:val="single" w:sz="4" w:space="0" w:color="auto"/>
              <w:right w:val="nil"/>
            </w:tcBorders>
            <w:shd w:val="clear" w:color="auto" w:fill="auto"/>
          </w:tcPr>
          <w:p w14:paraId="2730E19D" w14:textId="77777777" w:rsidR="006B785B" w:rsidRPr="00E022DA" w:rsidRDefault="006B785B" w:rsidP="00CF32FA">
            <w:pPr>
              <w:pStyle w:val="BodyText2"/>
              <w:spacing w:after="0" w:line="240" w:lineRule="auto"/>
              <w:jc w:val="center"/>
              <w:rPr>
                <w:rFonts w:ascii="Times New Roman" w:hAnsi="Times New Roman"/>
                <w:b/>
                <w:sz w:val="24"/>
                <w:szCs w:val="24"/>
                <w:lang w:val="lv-LV"/>
              </w:rPr>
            </w:pPr>
          </w:p>
        </w:tc>
        <w:tc>
          <w:tcPr>
            <w:tcW w:w="955" w:type="dxa"/>
            <w:tcBorders>
              <w:top w:val="nil"/>
              <w:left w:val="nil"/>
              <w:bottom w:val="single" w:sz="4" w:space="0" w:color="auto"/>
              <w:right w:val="single" w:sz="18" w:space="0" w:color="auto"/>
            </w:tcBorders>
            <w:shd w:val="clear" w:color="auto" w:fill="auto"/>
          </w:tcPr>
          <w:p w14:paraId="194C1662" w14:textId="77777777" w:rsidR="006B785B" w:rsidRPr="00E022DA" w:rsidRDefault="006B785B" w:rsidP="00CF32FA">
            <w:pPr>
              <w:pStyle w:val="BodyText2"/>
              <w:spacing w:after="0" w:line="240" w:lineRule="auto"/>
              <w:jc w:val="center"/>
              <w:rPr>
                <w:rFonts w:ascii="Times New Roman" w:hAnsi="Times New Roman"/>
                <w:b/>
                <w:sz w:val="24"/>
                <w:szCs w:val="24"/>
                <w:lang w:val="lv-LV"/>
              </w:rPr>
            </w:pPr>
          </w:p>
        </w:tc>
        <w:tc>
          <w:tcPr>
            <w:tcW w:w="1979" w:type="dxa"/>
            <w:gridSpan w:val="2"/>
            <w:tcBorders>
              <w:top w:val="single" w:sz="18" w:space="0" w:color="auto"/>
              <w:left w:val="single" w:sz="18" w:space="0" w:color="auto"/>
              <w:bottom w:val="single" w:sz="6" w:space="0" w:color="auto"/>
              <w:right w:val="single" w:sz="18" w:space="0" w:color="auto"/>
            </w:tcBorders>
            <w:shd w:val="clear" w:color="auto" w:fill="A8D08D" w:themeFill="accent6" w:themeFillTint="99"/>
          </w:tcPr>
          <w:p w14:paraId="7B4504AE" w14:textId="447A5510" w:rsidR="006B785B" w:rsidRPr="00E022DA" w:rsidRDefault="006B785B" w:rsidP="00CF32FA">
            <w:pPr>
              <w:pStyle w:val="BodyText2"/>
              <w:spacing w:after="0" w:line="240" w:lineRule="auto"/>
              <w:jc w:val="center"/>
              <w:rPr>
                <w:rFonts w:ascii="Times New Roman" w:hAnsi="Times New Roman"/>
                <w:b/>
                <w:sz w:val="24"/>
                <w:szCs w:val="24"/>
                <w:lang w:val="lv-LV"/>
              </w:rPr>
            </w:pPr>
            <w:r>
              <w:rPr>
                <w:rFonts w:ascii="Times New Roman" w:eastAsia="Times New Roman" w:hAnsi="Times New Roman"/>
                <w:b/>
                <w:bCs/>
                <w:color w:val="000000"/>
                <w:sz w:val="24"/>
                <w:szCs w:val="24"/>
                <w:lang w:eastAsia="lv-LV"/>
              </w:rPr>
              <w:t xml:space="preserve">EM </w:t>
            </w:r>
            <w:proofErr w:type="spellStart"/>
            <w:r>
              <w:rPr>
                <w:rFonts w:ascii="Times New Roman" w:eastAsia="Times New Roman" w:hAnsi="Times New Roman"/>
                <w:b/>
                <w:bCs/>
                <w:color w:val="000000"/>
                <w:sz w:val="24"/>
                <w:szCs w:val="24"/>
                <w:lang w:eastAsia="lv-LV"/>
              </w:rPr>
              <w:t>prognoze</w:t>
            </w:r>
            <w:proofErr w:type="spellEnd"/>
          </w:p>
        </w:tc>
        <w:tc>
          <w:tcPr>
            <w:tcW w:w="1921" w:type="dxa"/>
            <w:gridSpan w:val="2"/>
            <w:tcBorders>
              <w:top w:val="single" w:sz="18" w:space="0" w:color="auto"/>
              <w:left w:val="single" w:sz="18" w:space="0" w:color="auto"/>
              <w:bottom w:val="single" w:sz="6" w:space="0" w:color="auto"/>
              <w:right w:val="single" w:sz="18" w:space="0" w:color="auto"/>
            </w:tcBorders>
            <w:shd w:val="clear" w:color="auto" w:fill="A8D08D" w:themeFill="accent6" w:themeFillTint="99"/>
          </w:tcPr>
          <w:p w14:paraId="142577A1" w14:textId="4A01C2DC" w:rsidR="006B785B" w:rsidRPr="00E022DA" w:rsidRDefault="006B785B" w:rsidP="00CF32FA">
            <w:pPr>
              <w:pStyle w:val="BodyText2"/>
              <w:spacing w:after="0" w:line="240" w:lineRule="auto"/>
              <w:jc w:val="center"/>
              <w:rPr>
                <w:rFonts w:ascii="Times New Roman" w:hAnsi="Times New Roman"/>
                <w:b/>
                <w:sz w:val="24"/>
                <w:szCs w:val="24"/>
                <w:lang w:val="lv-LV"/>
              </w:rPr>
            </w:pPr>
            <w:r>
              <w:rPr>
                <w:rFonts w:ascii="Times New Roman" w:eastAsia="Times New Roman" w:hAnsi="Times New Roman"/>
                <w:b/>
                <w:bCs/>
                <w:color w:val="000000"/>
                <w:sz w:val="24"/>
                <w:szCs w:val="24"/>
                <w:lang w:eastAsia="lv-LV"/>
              </w:rPr>
              <w:t xml:space="preserve">FM </w:t>
            </w:r>
            <w:proofErr w:type="spellStart"/>
            <w:r>
              <w:rPr>
                <w:rFonts w:ascii="Times New Roman" w:eastAsia="Times New Roman" w:hAnsi="Times New Roman"/>
                <w:b/>
                <w:bCs/>
                <w:color w:val="000000"/>
                <w:sz w:val="24"/>
                <w:szCs w:val="24"/>
                <w:lang w:eastAsia="lv-LV"/>
              </w:rPr>
              <w:t>prognoze</w:t>
            </w:r>
            <w:proofErr w:type="spellEnd"/>
          </w:p>
        </w:tc>
      </w:tr>
      <w:tr w:rsidR="006B785B" w:rsidRPr="00E022DA" w14:paraId="72E6EF9F" w14:textId="7C6B1DA6" w:rsidTr="006B785B">
        <w:tc>
          <w:tcPr>
            <w:tcW w:w="3404" w:type="dxa"/>
            <w:gridSpan w:val="2"/>
            <w:tcBorders>
              <w:top w:val="nil"/>
              <w:left w:val="nil"/>
              <w:bottom w:val="single" w:sz="4" w:space="0" w:color="auto"/>
              <w:right w:val="single" w:sz="4" w:space="0" w:color="auto"/>
            </w:tcBorders>
            <w:shd w:val="clear" w:color="auto" w:fill="auto"/>
          </w:tcPr>
          <w:p w14:paraId="09FAA680" w14:textId="77777777" w:rsidR="009C50A7" w:rsidRPr="00E022DA" w:rsidRDefault="009C50A7" w:rsidP="00CF32FA">
            <w:pPr>
              <w:pStyle w:val="BodyText2"/>
              <w:spacing w:after="0" w:line="240" w:lineRule="auto"/>
              <w:jc w:val="both"/>
              <w:rPr>
                <w:rFonts w:ascii="Times New Roman" w:hAnsi="Times New Roman"/>
                <w:sz w:val="24"/>
                <w:szCs w:val="24"/>
                <w:lang w:val="lv-LV"/>
              </w:rPr>
            </w:pPr>
          </w:p>
        </w:tc>
        <w:tc>
          <w:tcPr>
            <w:tcW w:w="955" w:type="dxa"/>
            <w:tcBorders>
              <w:top w:val="single" w:sz="4" w:space="0" w:color="auto"/>
              <w:left w:val="single" w:sz="4" w:space="0" w:color="auto"/>
            </w:tcBorders>
            <w:shd w:val="clear" w:color="auto" w:fill="E2EFD9" w:themeFill="accent6" w:themeFillTint="33"/>
          </w:tcPr>
          <w:p w14:paraId="6FD22A81" w14:textId="774AC22D" w:rsidR="009C50A7" w:rsidRPr="00E022DA" w:rsidRDefault="009C50A7" w:rsidP="00CF32FA">
            <w:pPr>
              <w:pStyle w:val="BodyText2"/>
              <w:spacing w:after="0" w:line="240" w:lineRule="auto"/>
              <w:jc w:val="center"/>
              <w:rPr>
                <w:rFonts w:ascii="Times New Roman" w:hAnsi="Times New Roman"/>
                <w:b/>
                <w:sz w:val="24"/>
                <w:szCs w:val="24"/>
                <w:lang w:val="lv-LV"/>
              </w:rPr>
            </w:pPr>
            <w:r w:rsidRPr="00E022DA">
              <w:rPr>
                <w:rFonts w:ascii="Times New Roman" w:hAnsi="Times New Roman"/>
                <w:b/>
                <w:sz w:val="24"/>
                <w:szCs w:val="24"/>
                <w:lang w:val="lv-LV"/>
              </w:rPr>
              <w:t>2021</w:t>
            </w:r>
          </w:p>
        </w:tc>
        <w:tc>
          <w:tcPr>
            <w:tcW w:w="955" w:type="dxa"/>
            <w:tcBorders>
              <w:top w:val="single" w:sz="4" w:space="0" w:color="auto"/>
              <w:right w:val="single" w:sz="18" w:space="0" w:color="auto"/>
            </w:tcBorders>
            <w:shd w:val="clear" w:color="auto" w:fill="E2EFD9" w:themeFill="accent6" w:themeFillTint="33"/>
          </w:tcPr>
          <w:p w14:paraId="6CB584EE" w14:textId="757D2CDA" w:rsidR="009C50A7" w:rsidRPr="00E022DA" w:rsidRDefault="009C50A7" w:rsidP="00CF32FA">
            <w:pPr>
              <w:pStyle w:val="BodyText2"/>
              <w:spacing w:after="0" w:line="240" w:lineRule="auto"/>
              <w:jc w:val="center"/>
              <w:rPr>
                <w:rFonts w:ascii="Times New Roman" w:hAnsi="Times New Roman"/>
                <w:b/>
                <w:sz w:val="24"/>
                <w:szCs w:val="24"/>
                <w:lang w:val="lv-LV"/>
              </w:rPr>
            </w:pPr>
            <w:r w:rsidRPr="00E022DA">
              <w:rPr>
                <w:rFonts w:ascii="Times New Roman" w:hAnsi="Times New Roman"/>
                <w:b/>
                <w:sz w:val="24"/>
                <w:szCs w:val="24"/>
                <w:lang w:val="lv-LV"/>
              </w:rPr>
              <w:t>2022</w:t>
            </w:r>
          </w:p>
        </w:tc>
        <w:tc>
          <w:tcPr>
            <w:tcW w:w="961" w:type="dxa"/>
            <w:tcBorders>
              <w:top w:val="single" w:sz="6" w:space="0" w:color="auto"/>
              <w:left w:val="single" w:sz="18" w:space="0" w:color="auto"/>
              <w:bottom w:val="single" w:sz="6" w:space="0" w:color="auto"/>
              <w:right w:val="single" w:sz="6" w:space="0" w:color="auto"/>
            </w:tcBorders>
            <w:shd w:val="clear" w:color="auto" w:fill="E2EFD9" w:themeFill="accent6" w:themeFillTint="33"/>
          </w:tcPr>
          <w:p w14:paraId="0AB99839" w14:textId="3AE7D31F" w:rsidR="009C50A7" w:rsidRPr="00E022DA" w:rsidRDefault="009C50A7" w:rsidP="00CF32FA">
            <w:pPr>
              <w:pStyle w:val="BodyText2"/>
              <w:spacing w:after="0" w:line="240" w:lineRule="auto"/>
              <w:jc w:val="center"/>
              <w:rPr>
                <w:rFonts w:ascii="Times New Roman" w:hAnsi="Times New Roman"/>
                <w:b/>
                <w:sz w:val="24"/>
                <w:szCs w:val="24"/>
                <w:lang w:val="lv-LV"/>
              </w:rPr>
            </w:pPr>
            <w:r w:rsidRPr="00E022DA">
              <w:rPr>
                <w:rFonts w:ascii="Times New Roman" w:hAnsi="Times New Roman"/>
                <w:b/>
                <w:sz w:val="24"/>
                <w:szCs w:val="24"/>
                <w:lang w:val="lv-LV"/>
              </w:rPr>
              <w:t>2023p</w:t>
            </w:r>
          </w:p>
        </w:tc>
        <w:tc>
          <w:tcPr>
            <w:tcW w:w="1018" w:type="dxa"/>
            <w:tcBorders>
              <w:top w:val="single" w:sz="6" w:space="0" w:color="auto"/>
              <w:left w:val="single" w:sz="6" w:space="0" w:color="auto"/>
              <w:bottom w:val="single" w:sz="6" w:space="0" w:color="auto"/>
              <w:right w:val="single" w:sz="18" w:space="0" w:color="auto"/>
            </w:tcBorders>
            <w:shd w:val="clear" w:color="auto" w:fill="E2EFD9" w:themeFill="accent6" w:themeFillTint="33"/>
          </w:tcPr>
          <w:p w14:paraId="0D117CA1" w14:textId="5B4E396C" w:rsidR="009C50A7" w:rsidRPr="00E022DA" w:rsidRDefault="009C50A7" w:rsidP="00CF32FA">
            <w:pPr>
              <w:pStyle w:val="BodyText2"/>
              <w:spacing w:after="0" w:line="240" w:lineRule="auto"/>
              <w:jc w:val="center"/>
              <w:rPr>
                <w:rFonts w:ascii="Times New Roman" w:hAnsi="Times New Roman"/>
                <w:b/>
                <w:sz w:val="24"/>
                <w:szCs w:val="24"/>
                <w:lang w:val="lv-LV"/>
              </w:rPr>
            </w:pPr>
            <w:r w:rsidRPr="00E022DA">
              <w:rPr>
                <w:rFonts w:ascii="Times New Roman" w:hAnsi="Times New Roman"/>
                <w:b/>
                <w:sz w:val="24"/>
                <w:szCs w:val="24"/>
                <w:lang w:val="lv-LV"/>
              </w:rPr>
              <w:t>2024p</w:t>
            </w:r>
          </w:p>
        </w:tc>
        <w:tc>
          <w:tcPr>
            <w:tcW w:w="929" w:type="dxa"/>
            <w:tcBorders>
              <w:top w:val="single" w:sz="6" w:space="0" w:color="auto"/>
              <w:left w:val="single" w:sz="18" w:space="0" w:color="auto"/>
              <w:bottom w:val="single" w:sz="6" w:space="0" w:color="auto"/>
              <w:right w:val="single" w:sz="6" w:space="0" w:color="auto"/>
            </w:tcBorders>
            <w:shd w:val="clear" w:color="auto" w:fill="E2EFD9" w:themeFill="accent6" w:themeFillTint="33"/>
          </w:tcPr>
          <w:p w14:paraId="345D520E" w14:textId="2CAE8943" w:rsidR="009C50A7" w:rsidRPr="00E022DA" w:rsidRDefault="009C50A7" w:rsidP="00CF32FA">
            <w:pPr>
              <w:pStyle w:val="BodyText2"/>
              <w:spacing w:after="0" w:line="240" w:lineRule="auto"/>
              <w:jc w:val="center"/>
              <w:rPr>
                <w:rFonts w:ascii="Times New Roman" w:hAnsi="Times New Roman"/>
                <w:b/>
                <w:sz w:val="24"/>
                <w:szCs w:val="24"/>
                <w:lang w:val="lv-LV"/>
              </w:rPr>
            </w:pPr>
            <w:r>
              <w:rPr>
                <w:rFonts w:ascii="Times New Roman" w:hAnsi="Times New Roman"/>
                <w:b/>
                <w:sz w:val="24"/>
                <w:szCs w:val="24"/>
                <w:lang w:val="lv-LV"/>
              </w:rPr>
              <w:t>2023p</w:t>
            </w:r>
          </w:p>
        </w:tc>
        <w:tc>
          <w:tcPr>
            <w:tcW w:w="992" w:type="dxa"/>
            <w:tcBorders>
              <w:top w:val="single" w:sz="6" w:space="0" w:color="auto"/>
              <w:left w:val="single" w:sz="6" w:space="0" w:color="auto"/>
              <w:bottom w:val="single" w:sz="6" w:space="0" w:color="auto"/>
              <w:right w:val="single" w:sz="18" w:space="0" w:color="auto"/>
            </w:tcBorders>
            <w:shd w:val="clear" w:color="auto" w:fill="E2EFD9" w:themeFill="accent6" w:themeFillTint="33"/>
          </w:tcPr>
          <w:p w14:paraId="7B21BA86" w14:textId="7F7E538B" w:rsidR="009C50A7" w:rsidRPr="00E022DA" w:rsidRDefault="009C50A7" w:rsidP="00CF32FA">
            <w:pPr>
              <w:pStyle w:val="BodyText2"/>
              <w:spacing w:after="0" w:line="240" w:lineRule="auto"/>
              <w:jc w:val="center"/>
              <w:rPr>
                <w:rFonts w:ascii="Times New Roman" w:hAnsi="Times New Roman"/>
                <w:b/>
                <w:sz w:val="24"/>
                <w:szCs w:val="24"/>
                <w:lang w:val="lv-LV"/>
              </w:rPr>
            </w:pPr>
            <w:r>
              <w:rPr>
                <w:rFonts w:ascii="Times New Roman" w:hAnsi="Times New Roman"/>
                <w:b/>
                <w:sz w:val="24"/>
                <w:szCs w:val="24"/>
                <w:lang w:val="lv-LV"/>
              </w:rPr>
              <w:t>2024p</w:t>
            </w:r>
          </w:p>
        </w:tc>
      </w:tr>
      <w:tr w:rsidR="006B785B" w:rsidRPr="00E022DA" w14:paraId="08C922CD" w14:textId="57FDA5E8" w:rsidTr="006B785B">
        <w:tc>
          <w:tcPr>
            <w:tcW w:w="3261" w:type="dxa"/>
            <w:tcBorders>
              <w:top w:val="single" w:sz="4" w:space="0" w:color="auto"/>
            </w:tcBorders>
            <w:shd w:val="clear" w:color="auto" w:fill="auto"/>
          </w:tcPr>
          <w:p w14:paraId="20839D60" w14:textId="77777777" w:rsidR="006B785B" w:rsidRPr="00E022DA" w:rsidRDefault="006B785B" w:rsidP="006B785B">
            <w:pPr>
              <w:pStyle w:val="BodyText2"/>
              <w:spacing w:after="0" w:line="240" w:lineRule="auto"/>
              <w:rPr>
                <w:rFonts w:ascii="Times New Roman" w:hAnsi="Times New Roman"/>
                <w:sz w:val="24"/>
                <w:szCs w:val="24"/>
                <w:lang w:val="lv-LV"/>
              </w:rPr>
            </w:pPr>
            <w:r w:rsidRPr="00E022DA">
              <w:rPr>
                <w:rFonts w:ascii="Times New Roman" w:hAnsi="Times New Roman"/>
                <w:sz w:val="24"/>
                <w:szCs w:val="24"/>
                <w:lang w:val="lv-LV"/>
              </w:rPr>
              <w:t>Iekšzemes kopprodukts (IKP) (salīdzināmās cenās, milj. Eiro)</w:t>
            </w:r>
          </w:p>
        </w:tc>
        <w:tc>
          <w:tcPr>
            <w:tcW w:w="1098" w:type="dxa"/>
            <w:gridSpan w:val="2"/>
            <w:shd w:val="clear" w:color="auto" w:fill="auto"/>
            <w:vAlign w:val="center"/>
          </w:tcPr>
          <w:p w14:paraId="74393407" w14:textId="478E157B" w:rsidR="006B785B" w:rsidRPr="006B785B" w:rsidRDefault="006B785B" w:rsidP="006B785B">
            <w:pPr>
              <w:pStyle w:val="BodyText2"/>
              <w:spacing w:after="0" w:line="240" w:lineRule="auto"/>
              <w:jc w:val="center"/>
              <w:rPr>
                <w:rFonts w:ascii="Times New Roman" w:hAnsi="Times New Roman"/>
                <w:b/>
                <w:sz w:val="24"/>
                <w:szCs w:val="24"/>
                <w:lang w:val="lv-LV"/>
              </w:rPr>
            </w:pPr>
            <w:r w:rsidRPr="006B785B">
              <w:rPr>
                <w:rFonts w:ascii="Times New Roman" w:hAnsi="Times New Roman"/>
                <w:sz w:val="24"/>
                <w:szCs w:val="24"/>
              </w:rPr>
              <w:t>28 240</w:t>
            </w:r>
          </w:p>
        </w:tc>
        <w:tc>
          <w:tcPr>
            <w:tcW w:w="955" w:type="dxa"/>
            <w:tcBorders>
              <w:right w:val="single" w:sz="18" w:space="0" w:color="auto"/>
            </w:tcBorders>
            <w:shd w:val="clear" w:color="auto" w:fill="auto"/>
            <w:vAlign w:val="center"/>
          </w:tcPr>
          <w:p w14:paraId="518DEDAC" w14:textId="2C180FD1" w:rsidR="006B785B" w:rsidRPr="006B785B" w:rsidRDefault="006B785B" w:rsidP="006B785B">
            <w:pPr>
              <w:pStyle w:val="BodyText2"/>
              <w:spacing w:after="0" w:line="240" w:lineRule="auto"/>
              <w:jc w:val="center"/>
              <w:rPr>
                <w:rFonts w:ascii="Times New Roman" w:hAnsi="Times New Roman"/>
                <w:b/>
                <w:sz w:val="24"/>
                <w:szCs w:val="24"/>
                <w:lang w:val="lv-LV"/>
              </w:rPr>
            </w:pPr>
            <w:r w:rsidRPr="006B785B">
              <w:rPr>
                <w:rFonts w:ascii="Times New Roman" w:hAnsi="Times New Roman"/>
                <w:sz w:val="24"/>
                <w:szCs w:val="24"/>
              </w:rPr>
              <w:t>29 021</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4CE3C683" w14:textId="32238EBB" w:rsidR="006B785B" w:rsidRPr="006B785B" w:rsidRDefault="006B785B" w:rsidP="006B785B">
            <w:pPr>
              <w:pStyle w:val="BodyText2"/>
              <w:spacing w:after="0" w:line="240" w:lineRule="auto"/>
              <w:jc w:val="center"/>
              <w:rPr>
                <w:rFonts w:ascii="Times New Roman" w:hAnsi="Times New Roman"/>
                <w:b/>
                <w:sz w:val="24"/>
                <w:szCs w:val="24"/>
                <w:lang w:val="lv-LV"/>
              </w:rPr>
            </w:pPr>
            <w:r w:rsidRPr="006B785B">
              <w:rPr>
                <w:rFonts w:ascii="Times New Roman" w:hAnsi="Times New Roman"/>
                <w:sz w:val="24"/>
                <w:szCs w:val="24"/>
              </w:rPr>
              <w:t>29 242</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59436010" w14:textId="1927728E" w:rsidR="006B785B" w:rsidRPr="006B785B" w:rsidRDefault="006B785B" w:rsidP="006B785B">
            <w:pPr>
              <w:pStyle w:val="BodyText2"/>
              <w:spacing w:after="0" w:line="240" w:lineRule="auto"/>
              <w:jc w:val="center"/>
              <w:rPr>
                <w:rFonts w:ascii="Times New Roman" w:hAnsi="Times New Roman"/>
                <w:b/>
                <w:sz w:val="24"/>
                <w:szCs w:val="24"/>
                <w:lang w:val="lv-LV"/>
              </w:rPr>
            </w:pPr>
            <w:r w:rsidRPr="006B785B">
              <w:rPr>
                <w:rFonts w:ascii="Times New Roman" w:hAnsi="Times New Roman"/>
                <w:sz w:val="24"/>
                <w:szCs w:val="24"/>
              </w:rPr>
              <w:t>30 375</w:t>
            </w:r>
          </w:p>
        </w:tc>
        <w:tc>
          <w:tcPr>
            <w:tcW w:w="929" w:type="dxa"/>
            <w:tcBorders>
              <w:top w:val="single" w:sz="6" w:space="0" w:color="auto"/>
              <w:left w:val="single" w:sz="18" w:space="0" w:color="auto"/>
              <w:bottom w:val="single" w:sz="6" w:space="0" w:color="auto"/>
              <w:right w:val="single" w:sz="6" w:space="0" w:color="auto"/>
            </w:tcBorders>
            <w:vAlign w:val="center"/>
          </w:tcPr>
          <w:p w14:paraId="38D29F9B" w14:textId="40A97F55"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29 308</w:t>
            </w:r>
          </w:p>
        </w:tc>
        <w:tc>
          <w:tcPr>
            <w:tcW w:w="992" w:type="dxa"/>
            <w:tcBorders>
              <w:top w:val="single" w:sz="6" w:space="0" w:color="auto"/>
              <w:left w:val="single" w:sz="6" w:space="0" w:color="auto"/>
              <w:bottom w:val="single" w:sz="6" w:space="0" w:color="auto"/>
              <w:right w:val="single" w:sz="18" w:space="0" w:color="auto"/>
            </w:tcBorders>
            <w:vAlign w:val="center"/>
          </w:tcPr>
          <w:p w14:paraId="0341CD7C" w14:textId="4186C542"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30 035</w:t>
            </w:r>
          </w:p>
        </w:tc>
      </w:tr>
      <w:tr w:rsidR="006B785B" w:rsidRPr="00E022DA" w14:paraId="2859560B" w14:textId="0E74CF2A" w:rsidTr="006B785B">
        <w:tc>
          <w:tcPr>
            <w:tcW w:w="3261" w:type="dxa"/>
            <w:shd w:val="clear" w:color="auto" w:fill="auto"/>
          </w:tcPr>
          <w:p w14:paraId="2748D5E9"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IKP (faktiskajās cenās, milj. Eiro)</w:t>
            </w:r>
          </w:p>
        </w:tc>
        <w:tc>
          <w:tcPr>
            <w:tcW w:w="1098" w:type="dxa"/>
            <w:gridSpan w:val="2"/>
            <w:shd w:val="clear" w:color="auto" w:fill="auto"/>
            <w:vAlign w:val="center"/>
          </w:tcPr>
          <w:p w14:paraId="30431167" w14:textId="0B3495A2"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33 617</w:t>
            </w:r>
          </w:p>
        </w:tc>
        <w:tc>
          <w:tcPr>
            <w:tcW w:w="955" w:type="dxa"/>
            <w:tcBorders>
              <w:right w:val="single" w:sz="18" w:space="0" w:color="auto"/>
            </w:tcBorders>
            <w:shd w:val="clear" w:color="auto" w:fill="auto"/>
            <w:vAlign w:val="center"/>
          </w:tcPr>
          <w:p w14:paraId="17FF7A61" w14:textId="1962642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39 063</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3F06AC89" w14:textId="6EA96A09"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42 813</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7E15E0AD" w14:textId="7455BFBF"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45 652</w:t>
            </w:r>
          </w:p>
        </w:tc>
        <w:tc>
          <w:tcPr>
            <w:tcW w:w="929" w:type="dxa"/>
            <w:tcBorders>
              <w:top w:val="single" w:sz="6" w:space="0" w:color="auto"/>
              <w:left w:val="single" w:sz="18" w:space="0" w:color="auto"/>
              <w:bottom w:val="single" w:sz="6" w:space="0" w:color="auto"/>
              <w:right w:val="single" w:sz="6" w:space="0" w:color="auto"/>
            </w:tcBorders>
            <w:vAlign w:val="center"/>
          </w:tcPr>
          <w:p w14:paraId="323C2BD1" w14:textId="3E5CE981"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43 368</w:t>
            </w:r>
          </w:p>
        </w:tc>
        <w:tc>
          <w:tcPr>
            <w:tcW w:w="992" w:type="dxa"/>
            <w:tcBorders>
              <w:top w:val="single" w:sz="6" w:space="0" w:color="auto"/>
              <w:left w:val="single" w:sz="6" w:space="0" w:color="auto"/>
              <w:bottom w:val="single" w:sz="6" w:space="0" w:color="auto"/>
              <w:right w:val="single" w:sz="18" w:space="0" w:color="auto"/>
            </w:tcBorders>
            <w:vAlign w:val="center"/>
          </w:tcPr>
          <w:p w14:paraId="4969CC30" w14:textId="6A4A4599"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45 750</w:t>
            </w:r>
          </w:p>
        </w:tc>
      </w:tr>
      <w:tr w:rsidR="006B785B" w:rsidRPr="00E022DA" w14:paraId="09077409" w14:textId="7ACB306A" w:rsidTr="006B785B">
        <w:tc>
          <w:tcPr>
            <w:tcW w:w="3261" w:type="dxa"/>
            <w:shd w:val="clear" w:color="auto" w:fill="auto"/>
          </w:tcPr>
          <w:p w14:paraId="0646ADF4"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IKP pieaugums (salīdzināmās cenās, %)</w:t>
            </w:r>
          </w:p>
        </w:tc>
        <w:tc>
          <w:tcPr>
            <w:tcW w:w="1098" w:type="dxa"/>
            <w:gridSpan w:val="2"/>
            <w:shd w:val="clear" w:color="auto" w:fill="auto"/>
            <w:vAlign w:val="center"/>
          </w:tcPr>
          <w:p w14:paraId="608C27D4" w14:textId="76083877"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4,3</w:t>
            </w:r>
          </w:p>
        </w:tc>
        <w:tc>
          <w:tcPr>
            <w:tcW w:w="955" w:type="dxa"/>
            <w:tcBorders>
              <w:right w:val="single" w:sz="18" w:space="0" w:color="auto"/>
            </w:tcBorders>
            <w:shd w:val="clear" w:color="auto" w:fill="auto"/>
            <w:vAlign w:val="center"/>
          </w:tcPr>
          <w:p w14:paraId="7BE0E713" w14:textId="0B0EE513"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2,8</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7E0DB5CA" w14:textId="4A628058"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0,8</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6F040A2E" w14:textId="735FDE41"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3,9</w:t>
            </w:r>
          </w:p>
        </w:tc>
        <w:tc>
          <w:tcPr>
            <w:tcW w:w="929" w:type="dxa"/>
            <w:tcBorders>
              <w:top w:val="single" w:sz="6" w:space="0" w:color="auto"/>
              <w:left w:val="single" w:sz="18" w:space="0" w:color="auto"/>
              <w:bottom w:val="single" w:sz="6" w:space="0" w:color="auto"/>
              <w:right w:val="single" w:sz="6" w:space="0" w:color="auto"/>
            </w:tcBorders>
            <w:vAlign w:val="center"/>
          </w:tcPr>
          <w:p w14:paraId="600D50AF" w14:textId="54EECE35"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1,0</w:t>
            </w:r>
          </w:p>
        </w:tc>
        <w:tc>
          <w:tcPr>
            <w:tcW w:w="992" w:type="dxa"/>
            <w:tcBorders>
              <w:top w:val="single" w:sz="6" w:space="0" w:color="auto"/>
              <w:left w:val="single" w:sz="6" w:space="0" w:color="auto"/>
              <w:bottom w:val="single" w:sz="6" w:space="0" w:color="auto"/>
              <w:right w:val="single" w:sz="18" w:space="0" w:color="auto"/>
            </w:tcBorders>
            <w:vAlign w:val="center"/>
          </w:tcPr>
          <w:p w14:paraId="79DD4547" w14:textId="6869B579"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2,5</w:t>
            </w:r>
          </w:p>
        </w:tc>
      </w:tr>
      <w:tr w:rsidR="006B785B" w:rsidRPr="00E022DA" w14:paraId="6151117C" w14:textId="38B7B0BA" w:rsidTr="006B785B">
        <w:tc>
          <w:tcPr>
            <w:tcW w:w="3261" w:type="dxa"/>
            <w:shd w:val="clear" w:color="auto" w:fill="auto"/>
          </w:tcPr>
          <w:p w14:paraId="7DFB3157"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IKP pieaugums (faktiskajās cenās, %)</w:t>
            </w:r>
          </w:p>
        </w:tc>
        <w:tc>
          <w:tcPr>
            <w:tcW w:w="1098" w:type="dxa"/>
            <w:gridSpan w:val="2"/>
            <w:shd w:val="clear" w:color="auto" w:fill="auto"/>
            <w:vAlign w:val="center"/>
          </w:tcPr>
          <w:p w14:paraId="28A0E007" w14:textId="4E24633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11,1</w:t>
            </w:r>
          </w:p>
        </w:tc>
        <w:tc>
          <w:tcPr>
            <w:tcW w:w="955" w:type="dxa"/>
            <w:tcBorders>
              <w:right w:val="single" w:sz="18" w:space="0" w:color="auto"/>
            </w:tcBorders>
            <w:shd w:val="clear" w:color="auto" w:fill="auto"/>
            <w:vAlign w:val="center"/>
          </w:tcPr>
          <w:p w14:paraId="3EBF251D" w14:textId="39023B00"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16,2</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45FFA8B2" w14:textId="40D3BA84"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9,6</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7BF7825D" w14:textId="497AEFED"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6,6</w:t>
            </w:r>
          </w:p>
        </w:tc>
        <w:tc>
          <w:tcPr>
            <w:tcW w:w="929" w:type="dxa"/>
            <w:tcBorders>
              <w:top w:val="single" w:sz="6" w:space="0" w:color="auto"/>
              <w:left w:val="single" w:sz="18" w:space="0" w:color="auto"/>
              <w:bottom w:val="single" w:sz="6" w:space="0" w:color="auto"/>
              <w:right w:val="single" w:sz="6" w:space="0" w:color="auto"/>
            </w:tcBorders>
            <w:vAlign w:val="center"/>
          </w:tcPr>
          <w:p w14:paraId="7A0393D4" w14:textId="3A63C437"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11,0</w:t>
            </w:r>
          </w:p>
        </w:tc>
        <w:tc>
          <w:tcPr>
            <w:tcW w:w="992" w:type="dxa"/>
            <w:tcBorders>
              <w:top w:val="single" w:sz="6" w:space="0" w:color="auto"/>
              <w:left w:val="single" w:sz="6" w:space="0" w:color="auto"/>
              <w:bottom w:val="single" w:sz="6" w:space="0" w:color="auto"/>
              <w:right w:val="single" w:sz="18" w:space="0" w:color="auto"/>
            </w:tcBorders>
            <w:vAlign w:val="center"/>
          </w:tcPr>
          <w:p w14:paraId="764B180F" w14:textId="206B42FB"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5,5</w:t>
            </w:r>
          </w:p>
        </w:tc>
      </w:tr>
      <w:tr w:rsidR="006B785B" w:rsidRPr="00E022DA" w14:paraId="5A65DFD9" w14:textId="39E6F4F4" w:rsidTr="006B785B">
        <w:tc>
          <w:tcPr>
            <w:tcW w:w="3261" w:type="dxa"/>
            <w:shd w:val="clear" w:color="auto" w:fill="auto"/>
          </w:tcPr>
          <w:p w14:paraId="7E18AADE" w14:textId="0E1AA070"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 xml:space="preserve">Nodarbināto iedzīvotāju vidējais skaits (tūkst.) </w:t>
            </w:r>
          </w:p>
        </w:tc>
        <w:tc>
          <w:tcPr>
            <w:tcW w:w="1098" w:type="dxa"/>
            <w:gridSpan w:val="2"/>
            <w:shd w:val="clear" w:color="auto" w:fill="auto"/>
            <w:vAlign w:val="center"/>
          </w:tcPr>
          <w:p w14:paraId="13600B46" w14:textId="71B0F484"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864,0</w:t>
            </w:r>
          </w:p>
        </w:tc>
        <w:tc>
          <w:tcPr>
            <w:tcW w:w="955" w:type="dxa"/>
            <w:tcBorders>
              <w:right w:val="single" w:sz="18" w:space="0" w:color="auto"/>
            </w:tcBorders>
            <w:shd w:val="clear" w:color="auto" w:fill="auto"/>
            <w:vAlign w:val="center"/>
          </w:tcPr>
          <w:p w14:paraId="669D4362" w14:textId="469CB96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886,2</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3A2F0754" w14:textId="663CC7AE"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888,9</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3938FD9A" w14:textId="6253BF39"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891,6</w:t>
            </w:r>
          </w:p>
        </w:tc>
        <w:tc>
          <w:tcPr>
            <w:tcW w:w="929" w:type="dxa"/>
            <w:tcBorders>
              <w:top w:val="single" w:sz="6" w:space="0" w:color="auto"/>
              <w:left w:val="single" w:sz="18" w:space="0" w:color="auto"/>
              <w:bottom w:val="single" w:sz="6" w:space="0" w:color="auto"/>
              <w:right w:val="single" w:sz="6" w:space="0" w:color="auto"/>
            </w:tcBorders>
            <w:vAlign w:val="center"/>
          </w:tcPr>
          <w:p w14:paraId="6C501811" w14:textId="4DF55839"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887</w:t>
            </w:r>
          </w:p>
        </w:tc>
        <w:tc>
          <w:tcPr>
            <w:tcW w:w="992" w:type="dxa"/>
            <w:tcBorders>
              <w:top w:val="single" w:sz="6" w:space="0" w:color="auto"/>
              <w:left w:val="single" w:sz="6" w:space="0" w:color="auto"/>
              <w:bottom w:val="single" w:sz="6" w:space="0" w:color="auto"/>
              <w:right w:val="single" w:sz="18" w:space="0" w:color="auto"/>
            </w:tcBorders>
            <w:vAlign w:val="center"/>
          </w:tcPr>
          <w:p w14:paraId="57B845CD" w14:textId="58464FA8"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887</w:t>
            </w:r>
          </w:p>
        </w:tc>
      </w:tr>
      <w:tr w:rsidR="006B785B" w:rsidRPr="00E022DA" w14:paraId="2D842491" w14:textId="535AAC9A" w:rsidTr="006B785B">
        <w:tc>
          <w:tcPr>
            <w:tcW w:w="3261" w:type="dxa"/>
            <w:shd w:val="clear" w:color="auto" w:fill="auto"/>
          </w:tcPr>
          <w:p w14:paraId="11497F0C"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Bezdarba līmenis, %</w:t>
            </w:r>
          </w:p>
        </w:tc>
        <w:tc>
          <w:tcPr>
            <w:tcW w:w="1098" w:type="dxa"/>
            <w:gridSpan w:val="2"/>
            <w:shd w:val="clear" w:color="auto" w:fill="auto"/>
            <w:vAlign w:val="center"/>
          </w:tcPr>
          <w:p w14:paraId="4B9BA276" w14:textId="2888ABC4"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7,6</w:t>
            </w:r>
          </w:p>
        </w:tc>
        <w:tc>
          <w:tcPr>
            <w:tcW w:w="955" w:type="dxa"/>
            <w:tcBorders>
              <w:right w:val="single" w:sz="18" w:space="0" w:color="auto"/>
            </w:tcBorders>
            <w:shd w:val="clear" w:color="auto" w:fill="auto"/>
            <w:vAlign w:val="center"/>
          </w:tcPr>
          <w:p w14:paraId="2CB45E10" w14:textId="07E203C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6,9</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1E895372" w14:textId="25E04A1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6,1</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155308C5" w14:textId="741E37E4"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6,0</w:t>
            </w:r>
          </w:p>
        </w:tc>
        <w:tc>
          <w:tcPr>
            <w:tcW w:w="929" w:type="dxa"/>
            <w:tcBorders>
              <w:top w:val="single" w:sz="6" w:space="0" w:color="auto"/>
              <w:left w:val="single" w:sz="18" w:space="0" w:color="auto"/>
              <w:bottom w:val="single" w:sz="6" w:space="0" w:color="auto"/>
              <w:right w:val="single" w:sz="6" w:space="0" w:color="auto"/>
            </w:tcBorders>
            <w:vAlign w:val="center"/>
          </w:tcPr>
          <w:p w14:paraId="589C75B2" w14:textId="1C6ACEC7"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6,5</w:t>
            </w:r>
          </w:p>
        </w:tc>
        <w:tc>
          <w:tcPr>
            <w:tcW w:w="992" w:type="dxa"/>
            <w:tcBorders>
              <w:top w:val="single" w:sz="6" w:space="0" w:color="auto"/>
              <w:left w:val="single" w:sz="6" w:space="0" w:color="auto"/>
              <w:bottom w:val="single" w:sz="6" w:space="0" w:color="auto"/>
              <w:right w:val="single" w:sz="18" w:space="0" w:color="auto"/>
            </w:tcBorders>
            <w:vAlign w:val="center"/>
          </w:tcPr>
          <w:p w14:paraId="055C2122" w14:textId="488B6D9A"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6,6</w:t>
            </w:r>
          </w:p>
        </w:tc>
      </w:tr>
      <w:tr w:rsidR="006B785B" w:rsidRPr="00E022DA" w14:paraId="00197995" w14:textId="3A6FC54E" w:rsidTr="006B785B">
        <w:tc>
          <w:tcPr>
            <w:tcW w:w="3261" w:type="dxa"/>
            <w:shd w:val="clear" w:color="auto" w:fill="auto"/>
          </w:tcPr>
          <w:p w14:paraId="417B8E97"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Produktivitāte (salīdzināmās cenās)</w:t>
            </w:r>
          </w:p>
        </w:tc>
        <w:tc>
          <w:tcPr>
            <w:tcW w:w="1098" w:type="dxa"/>
            <w:gridSpan w:val="2"/>
            <w:shd w:val="clear" w:color="auto" w:fill="auto"/>
            <w:vAlign w:val="center"/>
          </w:tcPr>
          <w:p w14:paraId="3C1A0E5F" w14:textId="69637436"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32685</w:t>
            </w:r>
          </w:p>
        </w:tc>
        <w:tc>
          <w:tcPr>
            <w:tcW w:w="955" w:type="dxa"/>
            <w:tcBorders>
              <w:right w:val="single" w:sz="18" w:space="0" w:color="auto"/>
            </w:tcBorders>
            <w:shd w:val="clear" w:color="auto" w:fill="auto"/>
            <w:vAlign w:val="center"/>
          </w:tcPr>
          <w:p w14:paraId="4EA63258" w14:textId="276E2831"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32747</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58E64005" w14:textId="48089AD8"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32896</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1432E8CB" w14:textId="0D292F68"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34068</w:t>
            </w:r>
          </w:p>
        </w:tc>
        <w:tc>
          <w:tcPr>
            <w:tcW w:w="929" w:type="dxa"/>
            <w:tcBorders>
              <w:top w:val="single" w:sz="6" w:space="0" w:color="auto"/>
              <w:left w:val="single" w:sz="18" w:space="0" w:color="auto"/>
              <w:bottom w:val="single" w:sz="6" w:space="0" w:color="auto"/>
              <w:right w:val="single" w:sz="6" w:space="0" w:color="auto"/>
            </w:tcBorders>
            <w:vAlign w:val="center"/>
          </w:tcPr>
          <w:p w14:paraId="6CF124C3" w14:textId="27F88776"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33,0</w:t>
            </w:r>
          </w:p>
        </w:tc>
        <w:tc>
          <w:tcPr>
            <w:tcW w:w="992" w:type="dxa"/>
            <w:tcBorders>
              <w:top w:val="single" w:sz="6" w:space="0" w:color="auto"/>
              <w:left w:val="single" w:sz="6" w:space="0" w:color="auto"/>
              <w:bottom w:val="single" w:sz="6" w:space="0" w:color="auto"/>
              <w:right w:val="single" w:sz="18" w:space="0" w:color="auto"/>
            </w:tcBorders>
            <w:vAlign w:val="center"/>
          </w:tcPr>
          <w:p w14:paraId="7A1C4E76" w14:textId="04717D88"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33,9</w:t>
            </w:r>
          </w:p>
        </w:tc>
      </w:tr>
      <w:tr w:rsidR="006B785B" w:rsidRPr="00E022DA" w14:paraId="087EF7F7" w14:textId="2AFB0E5D" w:rsidTr="006B785B">
        <w:tc>
          <w:tcPr>
            <w:tcW w:w="3261" w:type="dxa"/>
            <w:shd w:val="clear" w:color="auto" w:fill="auto"/>
          </w:tcPr>
          <w:p w14:paraId="6C5A07B1"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Produktivitātes pieaugums (salīdzināmās cenās, %)</w:t>
            </w:r>
          </w:p>
        </w:tc>
        <w:tc>
          <w:tcPr>
            <w:tcW w:w="1098" w:type="dxa"/>
            <w:gridSpan w:val="2"/>
            <w:shd w:val="clear" w:color="auto" w:fill="auto"/>
            <w:vAlign w:val="center"/>
          </w:tcPr>
          <w:p w14:paraId="54E604D7" w14:textId="7C0F9372"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7,8</w:t>
            </w:r>
          </w:p>
        </w:tc>
        <w:tc>
          <w:tcPr>
            <w:tcW w:w="955" w:type="dxa"/>
            <w:tcBorders>
              <w:right w:val="single" w:sz="18" w:space="0" w:color="auto"/>
            </w:tcBorders>
            <w:shd w:val="clear" w:color="auto" w:fill="auto"/>
            <w:vAlign w:val="center"/>
          </w:tcPr>
          <w:p w14:paraId="1754972E" w14:textId="7E3CCA62"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0,2</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233888D8" w14:textId="46754D8C"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0,5</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4AE684BC" w14:textId="5A01A787"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3,6</w:t>
            </w:r>
          </w:p>
        </w:tc>
        <w:tc>
          <w:tcPr>
            <w:tcW w:w="929" w:type="dxa"/>
            <w:tcBorders>
              <w:top w:val="single" w:sz="6" w:space="0" w:color="auto"/>
              <w:left w:val="single" w:sz="18" w:space="0" w:color="auto"/>
              <w:bottom w:val="single" w:sz="6" w:space="0" w:color="auto"/>
              <w:right w:val="single" w:sz="6" w:space="0" w:color="auto"/>
            </w:tcBorders>
            <w:vAlign w:val="center"/>
          </w:tcPr>
          <w:p w14:paraId="7C62C53F" w14:textId="10E97EB6"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0,9</w:t>
            </w:r>
          </w:p>
        </w:tc>
        <w:tc>
          <w:tcPr>
            <w:tcW w:w="992" w:type="dxa"/>
            <w:tcBorders>
              <w:top w:val="single" w:sz="6" w:space="0" w:color="auto"/>
              <w:left w:val="single" w:sz="6" w:space="0" w:color="auto"/>
              <w:bottom w:val="single" w:sz="6" w:space="0" w:color="auto"/>
              <w:right w:val="single" w:sz="18" w:space="0" w:color="auto"/>
            </w:tcBorders>
            <w:vAlign w:val="center"/>
          </w:tcPr>
          <w:p w14:paraId="7435FC51" w14:textId="68AEB759"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2,5</w:t>
            </w:r>
          </w:p>
        </w:tc>
      </w:tr>
      <w:tr w:rsidR="006B785B" w:rsidRPr="00E022DA" w14:paraId="124B2130" w14:textId="561DA822" w:rsidTr="006B785B">
        <w:tc>
          <w:tcPr>
            <w:tcW w:w="3261" w:type="dxa"/>
            <w:shd w:val="clear" w:color="auto" w:fill="auto"/>
          </w:tcPr>
          <w:p w14:paraId="09FB8624"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Vidējā bruto alga (mēnesī, Eiro)</w:t>
            </w:r>
          </w:p>
        </w:tc>
        <w:tc>
          <w:tcPr>
            <w:tcW w:w="1098" w:type="dxa"/>
            <w:gridSpan w:val="2"/>
            <w:shd w:val="clear" w:color="auto" w:fill="auto"/>
            <w:vAlign w:val="center"/>
          </w:tcPr>
          <w:p w14:paraId="1155CA87" w14:textId="0D76DB6C"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1 277</w:t>
            </w:r>
          </w:p>
        </w:tc>
        <w:tc>
          <w:tcPr>
            <w:tcW w:w="955" w:type="dxa"/>
            <w:tcBorders>
              <w:right w:val="single" w:sz="18" w:space="0" w:color="auto"/>
            </w:tcBorders>
            <w:shd w:val="clear" w:color="auto" w:fill="auto"/>
            <w:vAlign w:val="center"/>
          </w:tcPr>
          <w:p w14:paraId="23476068" w14:textId="23CC84BE"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1 373</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044A3493" w14:textId="780D43F0"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1 531</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2DCFA71F" w14:textId="2FF44301"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1 647</w:t>
            </w:r>
          </w:p>
        </w:tc>
        <w:tc>
          <w:tcPr>
            <w:tcW w:w="929" w:type="dxa"/>
            <w:tcBorders>
              <w:top w:val="single" w:sz="6" w:space="0" w:color="auto"/>
              <w:left w:val="single" w:sz="18" w:space="0" w:color="auto"/>
              <w:bottom w:val="single" w:sz="6" w:space="0" w:color="auto"/>
              <w:right w:val="single" w:sz="6" w:space="0" w:color="auto"/>
            </w:tcBorders>
            <w:vAlign w:val="center"/>
          </w:tcPr>
          <w:p w14:paraId="4AC8122B" w14:textId="48BB37BB"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1 524</w:t>
            </w:r>
          </w:p>
        </w:tc>
        <w:tc>
          <w:tcPr>
            <w:tcW w:w="992" w:type="dxa"/>
            <w:tcBorders>
              <w:top w:val="single" w:sz="6" w:space="0" w:color="auto"/>
              <w:left w:val="single" w:sz="6" w:space="0" w:color="auto"/>
              <w:bottom w:val="single" w:sz="6" w:space="0" w:color="auto"/>
              <w:right w:val="single" w:sz="18" w:space="0" w:color="auto"/>
            </w:tcBorders>
            <w:vAlign w:val="center"/>
          </w:tcPr>
          <w:p w14:paraId="786DD216" w14:textId="5155EDE1"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1 638</w:t>
            </w:r>
          </w:p>
        </w:tc>
      </w:tr>
      <w:tr w:rsidR="006B785B" w:rsidRPr="00E022DA" w14:paraId="683BF27A" w14:textId="2821875C" w:rsidTr="006B785B">
        <w:tc>
          <w:tcPr>
            <w:tcW w:w="3261" w:type="dxa"/>
            <w:shd w:val="clear" w:color="auto" w:fill="auto"/>
          </w:tcPr>
          <w:p w14:paraId="6744E881"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Vidējās bruto algas pieaugums, %</w:t>
            </w:r>
          </w:p>
        </w:tc>
        <w:tc>
          <w:tcPr>
            <w:tcW w:w="1098" w:type="dxa"/>
            <w:gridSpan w:val="2"/>
            <w:shd w:val="clear" w:color="auto" w:fill="auto"/>
            <w:vAlign w:val="center"/>
          </w:tcPr>
          <w:p w14:paraId="5998944C" w14:textId="58CB52C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11,8</w:t>
            </w:r>
          </w:p>
        </w:tc>
        <w:tc>
          <w:tcPr>
            <w:tcW w:w="955" w:type="dxa"/>
            <w:tcBorders>
              <w:right w:val="single" w:sz="18" w:space="0" w:color="auto"/>
            </w:tcBorders>
            <w:shd w:val="clear" w:color="auto" w:fill="auto"/>
            <w:vAlign w:val="center"/>
          </w:tcPr>
          <w:p w14:paraId="4D7E15FA" w14:textId="642A82FC"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7,5</w:t>
            </w:r>
          </w:p>
        </w:tc>
        <w:tc>
          <w:tcPr>
            <w:tcW w:w="961" w:type="dxa"/>
            <w:tcBorders>
              <w:top w:val="single" w:sz="6" w:space="0" w:color="auto"/>
              <w:left w:val="single" w:sz="18" w:space="0" w:color="auto"/>
              <w:bottom w:val="single" w:sz="6" w:space="0" w:color="auto"/>
              <w:right w:val="single" w:sz="6" w:space="0" w:color="auto"/>
            </w:tcBorders>
            <w:shd w:val="clear" w:color="auto" w:fill="auto"/>
            <w:vAlign w:val="center"/>
          </w:tcPr>
          <w:p w14:paraId="791E0703" w14:textId="096DF15E"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11,5</w:t>
            </w:r>
          </w:p>
        </w:tc>
        <w:tc>
          <w:tcPr>
            <w:tcW w:w="1018" w:type="dxa"/>
            <w:tcBorders>
              <w:top w:val="single" w:sz="6" w:space="0" w:color="auto"/>
              <w:left w:val="single" w:sz="6" w:space="0" w:color="auto"/>
              <w:bottom w:val="single" w:sz="6" w:space="0" w:color="auto"/>
              <w:right w:val="single" w:sz="18" w:space="0" w:color="auto"/>
            </w:tcBorders>
            <w:shd w:val="clear" w:color="auto" w:fill="auto"/>
            <w:vAlign w:val="center"/>
          </w:tcPr>
          <w:p w14:paraId="0FFFED36" w14:textId="4F4E25CA"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7,6</w:t>
            </w:r>
          </w:p>
        </w:tc>
        <w:tc>
          <w:tcPr>
            <w:tcW w:w="929" w:type="dxa"/>
            <w:tcBorders>
              <w:top w:val="single" w:sz="6" w:space="0" w:color="auto"/>
              <w:left w:val="single" w:sz="18" w:space="0" w:color="auto"/>
              <w:bottom w:val="single" w:sz="6" w:space="0" w:color="auto"/>
              <w:right w:val="single" w:sz="6" w:space="0" w:color="auto"/>
            </w:tcBorders>
            <w:vAlign w:val="center"/>
          </w:tcPr>
          <w:p w14:paraId="2952A785" w14:textId="06C34345"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11,0</w:t>
            </w:r>
          </w:p>
        </w:tc>
        <w:tc>
          <w:tcPr>
            <w:tcW w:w="992" w:type="dxa"/>
            <w:tcBorders>
              <w:top w:val="single" w:sz="6" w:space="0" w:color="auto"/>
              <w:left w:val="single" w:sz="6" w:space="0" w:color="auto"/>
              <w:bottom w:val="single" w:sz="6" w:space="0" w:color="auto"/>
              <w:right w:val="single" w:sz="18" w:space="0" w:color="auto"/>
            </w:tcBorders>
            <w:vAlign w:val="center"/>
          </w:tcPr>
          <w:p w14:paraId="62F15DA6" w14:textId="0BF85735"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7,5</w:t>
            </w:r>
          </w:p>
        </w:tc>
      </w:tr>
      <w:tr w:rsidR="006B785B" w:rsidRPr="00E022DA" w14:paraId="7307EC3E" w14:textId="60A29C51" w:rsidTr="006B785B">
        <w:tc>
          <w:tcPr>
            <w:tcW w:w="3261" w:type="dxa"/>
            <w:shd w:val="clear" w:color="auto" w:fill="auto"/>
          </w:tcPr>
          <w:p w14:paraId="5ED2258F" w14:textId="77777777" w:rsidR="006B785B" w:rsidRPr="00E022DA" w:rsidRDefault="006B785B" w:rsidP="006B785B">
            <w:pPr>
              <w:spacing w:after="0" w:line="240" w:lineRule="auto"/>
              <w:rPr>
                <w:rFonts w:ascii="Times New Roman" w:hAnsi="Times New Roman"/>
                <w:sz w:val="24"/>
                <w:szCs w:val="24"/>
                <w:lang w:val="lv-LV"/>
              </w:rPr>
            </w:pPr>
            <w:r w:rsidRPr="00E022DA">
              <w:rPr>
                <w:rFonts w:ascii="Times New Roman" w:hAnsi="Times New Roman"/>
                <w:sz w:val="24"/>
                <w:szCs w:val="24"/>
                <w:lang w:val="lv-LV"/>
              </w:rPr>
              <w:t>Patēriņa cenu indekss (gada vidējais, %)</w:t>
            </w:r>
          </w:p>
        </w:tc>
        <w:tc>
          <w:tcPr>
            <w:tcW w:w="1098" w:type="dxa"/>
            <w:gridSpan w:val="2"/>
            <w:shd w:val="clear" w:color="auto" w:fill="auto"/>
            <w:vAlign w:val="center"/>
          </w:tcPr>
          <w:p w14:paraId="3EF7C6BA" w14:textId="5B5B8024"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3.3</w:t>
            </w:r>
          </w:p>
        </w:tc>
        <w:tc>
          <w:tcPr>
            <w:tcW w:w="955" w:type="dxa"/>
            <w:tcBorders>
              <w:right w:val="single" w:sz="18" w:space="0" w:color="auto"/>
            </w:tcBorders>
            <w:shd w:val="clear" w:color="auto" w:fill="auto"/>
            <w:vAlign w:val="center"/>
          </w:tcPr>
          <w:p w14:paraId="428F9700" w14:textId="70223A9B"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17.3</w:t>
            </w:r>
          </w:p>
        </w:tc>
        <w:tc>
          <w:tcPr>
            <w:tcW w:w="961" w:type="dxa"/>
            <w:tcBorders>
              <w:top w:val="single" w:sz="6" w:space="0" w:color="auto"/>
              <w:left w:val="single" w:sz="18" w:space="0" w:color="auto"/>
              <w:bottom w:val="single" w:sz="18" w:space="0" w:color="auto"/>
              <w:right w:val="single" w:sz="6" w:space="0" w:color="auto"/>
            </w:tcBorders>
            <w:shd w:val="clear" w:color="auto" w:fill="auto"/>
            <w:vAlign w:val="center"/>
          </w:tcPr>
          <w:p w14:paraId="19A0B524" w14:textId="6DAE0E4D"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9.5</w:t>
            </w:r>
          </w:p>
        </w:tc>
        <w:tc>
          <w:tcPr>
            <w:tcW w:w="1018" w:type="dxa"/>
            <w:tcBorders>
              <w:top w:val="single" w:sz="6" w:space="0" w:color="auto"/>
              <w:left w:val="single" w:sz="6" w:space="0" w:color="auto"/>
              <w:bottom w:val="single" w:sz="18" w:space="0" w:color="auto"/>
              <w:right w:val="single" w:sz="18" w:space="0" w:color="auto"/>
            </w:tcBorders>
            <w:shd w:val="clear" w:color="auto" w:fill="auto"/>
            <w:vAlign w:val="center"/>
          </w:tcPr>
          <w:p w14:paraId="4551ED43" w14:textId="2384DD9F" w:rsidR="006B785B" w:rsidRPr="006B785B" w:rsidRDefault="006B785B" w:rsidP="006B785B">
            <w:pPr>
              <w:pStyle w:val="BodyText2"/>
              <w:spacing w:after="0" w:line="240" w:lineRule="auto"/>
              <w:jc w:val="center"/>
              <w:rPr>
                <w:rFonts w:ascii="Times New Roman" w:hAnsi="Times New Roman"/>
                <w:sz w:val="24"/>
                <w:szCs w:val="24"/>
                <w:lang w:val="lv-LV"/>
              </w:rPr>
            </w:pPr>
            <w:r w:rsidRPr="006B785B">
              <w:rPr>
                <w:rFonts w:ascii="Times New Roman" w:hAnsi="Times New Roman"/>
                <w:sz w:val="24"/>
                <w:szCs w:val="24"/>
              </w:rPr>
              <w:t>2.1</w:t>
            </w:r>
          </w:p>
        </w:tc>
        <w:tc>
          <w:tcPr>
            <w:tcW w:w="929" w:type="dxa"/>
            <w:tcBorders>
              <w:top w:val="single" w:sz="6" w:space="0" w:color="auto"/>
              <w:left w:val="single" w:sz="18" w:space="0" w:color="auto"/>
              <w:bottom w:val="single" w:sz="18" w:space="0" w:color="auto"/>
              <w:right w:val="single" w:sz="6" w:space="0" w:color="auto"/>
            </w:tcBorders>
            <w:vAlign w:val="center"/>
          </w:tcPr>
          <w:p w14:paraId="5953C8A9" w14:textId="51363504"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10,0</w:t>
            </w:r>
          </w:p>
        </w:tc>
        <w:tc>
          <w:tcPr>
            <w:tcW w:w="992" w:type="dxa"/>
            <w:tcBorders>
              <w:top w:val="single" w:sz="6" w:space="0" w:color="auto"/>
              <w:left w:val="single" w:sz="6" w:space="0" w:color="auto"/>
              <w:bottom w:val="single" w:sz="18" w:space="0" w:color="auto"/>
              <w:right w:val="single" w:sz="18" w:space="0" w:color="auto"/>
            </w:tcBorders>
            <w:vAlign w:val="center"/>
          </w:tcPr>
          <w:p w14:paraId="7E45D12F" w14:textId="279CAD1A" w:rsidR="006B785B" w:rsidRPr="006B785B" w:rsidRDefault="006B785B" w:rsidP="006B785B">
            <w:pPr>
              <w:pStyle w:val="BodyText2"/>
              <w:spacing w:after="0" w:line="240" w:lineRule="auto"/>
              <w:jc w:val="center"/>
              <w:rPr>
                <w:rFonts w:ascii="Times New Roman" w:hAnsi="Times New Roman"/>
                <w:sz w:val="24"/>
                <w:szCs w:val="24"/>
              </w:rPr>
            </w:pPr>
            <w:r w:rsidRPr="006B785B">
              <w:rPr>
                <w:rFonts w:ascii="Times New Roman" w:hAnsi="Times New Roman"/>
                <w:sz w:val="24"/>
                <w:szCs w:val="24"/>
              </w:rPr>
              <w:t>2,2</w:t>
            </w:r>
          </w:p>
        </w:tc>
      </w:tr>
    </w:tbl>
    <w:p w14:paraId="11FEFC9D" w14:textId="77777777" w:rsidR="000674E9" w:rsidRPr="00AE01F2" w:rsidRDefault="000674E9" w:rsidP="000674E9">
      <w:pPr>
        <w:pStyle w:val="BodyText2"/>
        <w:spacing w:after="0" w:line="240" w:lineRule="auto"/>
        <w:rPr>
          <w:rFonts w:ascii="Times New Roman" w:hAnsi="Times New Roman"/>
          <w:sz w:val="24"/>
          <w:szCs w:val="24"/>
        </w:rPr>
      </w:pPr>
    </w:p>
    <w:p w14:paraId="779EC06B" w14:textId="77777777" w:rsidR="00607319" w:rsidRDefault="00607319" w:rsidP="002F6111">
      <w:pPr>
        <w:pStyle w:val="BodyText2"/>
        <w:spacing w:after="0" w:line="240" w:lineRule="auto"/>
        <w:jc w:val="both"/>
        <w:rPr>
          <w:rFonts w:ascii="Times New Roman" w:hAnsi="Times New Roman"/>
          <w:b/>
          <w:bCs/>
        </w:rPr>
      </w:pPr>
    </w:p>
    <w:p w14:paraId="43AD6B05" w14:textId="2B054DCD" w:rsidR="002F6111" w:rsidRPr="009B70BB" w:rsidRDefault="002F6111" w:rsidP="006B785B">
      <w:pPr>
        <w:pStyle w:val="BodyText2"/>
        <w:spacing w:after="0" w:line="240" w:lineRule="auto"/>
        <w:jc w:val="center"/>
        <w:rPr>
          <w:rFonts w:ascii="Times New Roman" w:hAnsi="Times New Roman"/>
          <w:bCs/>
          <w:sz w:val="24"/>
          <w:szCs w:val="24"/>
          <w:lang w:val="lv-LV"/>
        </w:rPr>
      </w:pPr>
      <w:r w:rsidRPr="009B70BB">
        <w:rPr>
          <w:rFonts w:ascii="Times New Roman" w:hAnsi="Times New Roman"/>
          <w:b/>
          <w:bCs/>
          <w:sz w:val="24"/>
          <w:szCs w:val="24"/>
          <w:lang w:val="lv-LV"/>
        </w:rPr>
        <w:t xml:space="preserve">Minimālās algas </w:t>
      </w:r>
      <w:r w:rsidR="00716AE3" w:rsidRPr="009B70BB">
        <w:rPr>
          <w:rFonts w:ascii="Times New Roman" w:hAnsi="Times New Roman"/>
          <w:b/>
          <w:bCs/>
          <w:sz w:val="24"/>
          <w:szCs w:val="24"/>
          <w:lang w:val="lv-LV"/>
        </w:rPr>
        <w:t>paaugstinā</w:t>
      </w:r>
      <w:r w:rsidRPr="009B70BB">
        <w:rPr>
          <w:rFonts w:ascii="Times New Roman" w:hAnsi="Times New Roman"/>
          <w:b/>
          <w:bCs/>
          <w:sz w:val="24"/>
          <w:szCs w:val="24"/>
          <w:lang w:val="lv-LV"/>
        </w:rPr>
        <w:t>šanas ietekme uz darbaspēka izmaksām</w:t>
      </w:r>
    </w:p>
    <w:p w14:paraId="75BDA223" w14:textId="77777777" w:rsidR="002F6111" w:rsidRDefault="002F6111" w:rsidP="002F6111">
      <w:pPr>
        <w:pStyle w:val="BodyText2"/>
        <w:spacing w:after="0" w:line="240" w:lineRule="auto"/>
        <w:ind w:firstLine="426"/>
        <w:jc w:val="both"/>
        <w:rPr>
          <w:rFonts w:ascii="Times New Roman" w:hAnsi="Times New Roman"/>
          <w:bCs/>
          <w:sz w:val="24"/>
          <w:szCs w:val="24"/>
          <w:lang w:val="lv-LV"/>
        </w:rPr>
      </w:pPr>
    </w:p>
    <w:p w14:paraId="7997B8B4" w14:textId="7FA6BC0D" w:rsidR="00C60ABB" w:rsidRPr="00543FF3" w:rsidRDefault="00C60ABB" w:rsidP="002F6111">
      <w:pPr>
        <w:pStyle w:val="BodyText2"/>
        <w:spacing w:after="0" w:line="240" w:lineRule="auto"/>
        <w:ind w:firstLine="426"/>
        <w:jc w:val="both"/>
        <w:rPr>
          <w:rFonts w:ascii="Times New Roman" w:hAnsi="Times New Roman"/>
          <w:bCs/>
          <w:sz w:val="24"/>
          <w:szCs w:val="24"/>
          <w:lang w:val="lv-LV"/>
        </w:rPr>
      </w:pPr>
      <w:r w:rsidRPr="00543FF3">
        <w:rPr>
          <w:rFonts w:ascii="Times New Roman" w:hAnsi="Times New Roman"/>
          <w:bCs/>
          <w:sz w:val="24"/>
          <w:szCs w:val="24"/>
          <w:lang w:val="lv-LV"/>
        </w:rPr>
        <w:t xml:space="preserve">Pašlaik Latvijā darbaspēka izmaksu pieaugums vairākas reizes pārsniedz produktivitātes kāpumu, tāpēc minimālās algas celšana var radīt negatīvu ietekmi uz uzņēmēju konkurētspēju. Darbaspēka izmaksu pieaugums, kas netiks kompensēts ar atbilstošu produktivitātes kāpumu var radīt nopietnu spiedienu uz peļņas normas samazināšanos, lai saglabātu cenu konkurētspēju ārējos tirgos. Turpretim mazāka peļņa nozīmē mazākas investīcijas produktivitātes celšanai. Bez tam, ilgstoši pozitīva ULC dinamika palielina valsts ārējās nesabalansētības draudus. </w:t>
      </w:r>
      <w:r w:rsidR="00A46ABA" w:rsidRPr="00543FF3">
        <w:rPr>
          <w:rFonts w:ascii="Times New Roman" w:hAnsi="Times New Roman"/>
          <w:bCs/>
          <w:sz w:val="24"/>
          <w:szCs w:val="24"/>
          <w:lang w:val="lv-LV"/>
        </w:rPr>
        <w:t xml:space="preserve">Jāņem vērā arī šobrīd saspringto ģeopolitisko situāciju, kā arī augstākas kā pirms Covid-19 krīzes izejvielu un energoresursu cenas, kas būtiski ietekmē uzņēmēju maksātspēju. </w:t>
      </w:r>
      <w:r w:rsidRPr="00543FF3">
        <w:rPr>
          <w:rFonts w:ascii="Times New Roman" w:hAnsi="Times New Roman"/>
          <w:b/>
          <w:sz w:val="24"/>
          <w:szCs w:val="24"/>
          <w:lang w:val="lv-LV"/>
        </w:rPr>
        <w:t>Jāatzīmē, ka minimālās algas kāpums</w:t>
      </w:r>
      <w:r w:rsidR="002B62B8" w:rsidRPr="00543FF3">
        <w:rPr>
          <w:rFonts w:ascii="Times New Roman" w:hAnsi="Times New Roman"/>
          <w:b/>
          <w:sz w:val="24"/>
          <w:szCs w:val="24"/>
          <w:lang w:val="lv-LV"/>
        </w:rPr>
        <w:t>,</w:t>
      </w:r>
      <w:r w:rsidRPr="00543FF3">
        <w:rPr>
          <w:rFonts w:ascii="Times New Roman" w:hAnsi="Times New Roman"/>
          <w:b/>
          <w:sz w:val="24"/>
          <w:szCs w:val="24"/>
          <w:lang w:val="lv-LV"/>
        </w:rPr>
        <w:t xml:space="preserve"> </w:t>
      </w:r>
      <w:bookmarkStart w:id="1" w:name="_Hlk99111976"/>
      <w:r w:rsidRPr="00543FF3">
        <w:rPr>
          <w:rFonts w:ascii="Times New Roman" w:hAnsi="Times New Roman"/>
          <w:b/>
          <w:sz w:val="24"/>
          <w:szCs w:val="24"/>
          <w:lang w:val="lv-LV"/>
        </w:rPr>
        <w:t xml:space="preserve">palielinot minimālo algu par </w:t>
      </w:r>
      <w:r w:rsidR="00E022DA" w:rsidRPr="00543FF3">
        <w:rPr>
          <w:rFonts w:ascii="Times New Roman" w:hAnsi="Times New Roman"/>
          <w:b/>
          <w:sz w:val="24"/>
          <w:szCs w:val="24"/>
          <w:lang w:val="lv-LV"/>
        </w:rPr>
        <w:t>8</w:t>
      </w:r>
      <w:r w:rsidRPr="00543FF3">
        <w:rPr>
          <w:rFonts w:ascii="Times New Roman" w:hAnsi="Times New Roman"/>
          <w:b/>
          <w:sz w:val="24"/>
          <w:szCs w:val="24"/>
          <w:lang w:val="lv-LV"/>
        </w:rPr>
        <w:t>0 EUR</w:t>
      </w:r>
      <w:r w:rsidR="002B62B8" w:rsidRPr="00543FF3">
        <w:rPr>
          <w:rFonts w:ascii="Times New Roman" w:hAnsi="Times New Roman"/>
          <w:b/>
          <w:sz w:val="24"/>
          <w:szCs w:val="24"/>
          <w:lang w:val="lv-LV"/>
        </w:rPr>
        <w:t xml:space="preserve">, </w:t>
      </w:r>
      <w:r w:rsidR="00A46ABA" w:rsidRPr="00543FF3">
        <w:rPr>
          <w:rFonts w:ascii="Times New Roman" w:hAnsi="Times New Roman"/>
          <w:b/>
          <w:sz w:val="24"/>
          <w:szCs w:val="24"/>
          <w:lang w:val="lv-LV"/>
        </w:rPr>
        <w:t xml:space="preserve">kopējo algu kāpumu </w:t>
      </w:r>
      <w:r w:rsidR="002B62B8" w:rsidRPr="00543FF3">
        <w:rPr>
          <w:rFonts w:ascii="Times New Roman" w:hAnsi="Times New Roman"/>
          <w:b/>
          <w:sz w:val="24"/>
          <w:szCs w:val="24"/>
          <w:lang w:val="lv-LV"/>
        </w:rPr>
        <w:t xml:space="preserve">ietekmēs </w:t>
      </w:r>
      <w:r w:rsidR="00245FDA" w:rsidRPr="00543FF3">
        <w:rPr>
          <w:rFonts w:ascii="Times New Roman" w:hAnsi="Times New Roman"/>
          <w:b/>
          <w:sz w:val="24"/>
          <w:szCs w:val="24"/>
          <w:lang w:val="lv-LV"/>
        </w:rPr>
        <w:t xml:space="preserve">aptuveni </w:t>
      </w:r>
      <w:r w:rsidRPr="00543FF3">
        <w:rPr>
          <w:rFonts w:ascii="Times New Roman" w:hAnsi="Times New Roman"/>
          <w:b/>
          <w:sz w:val="24"/>
          <w:szCs w:val="24"/>
          <w:lang w:val="lv-LV"/>
        </w:rPr>
        <w:t>par</w:t>
      </w:r>
      <w:r w:rsidR="00245FDA" w:rsidRPr="00543FF3">
        <w:rPr>
          <w:rFonts w:ascii="Times New Roman" w:hAnsi="Times New Roman"/>
          <w:b/>
          <w:sz w:val="24"/>
          <w:szCs w:val="24"/>
          <w:lang w:val="lv-LV"/>
        </w:rPr>
        <w:t xml:space="preserve"> 1</w:t>
      </w:r>
      <w:r w:rsidRPr="00543FF3">
        <w:rPr>
          <w:rFonts w:ascii="Times New Roman" w:hAnsi="Times New Roman"/>
          <w:b/>
          <w:sz w:val="24"/>
          <w:szCs w:val="24"/>
          <w:lang w:val="lv-LV"/>
        </w:rPr>
        <w:t xml:space="preserve"> procentpunkt</w:t>
      </w:r>
      <w:bookmarkEnd w:id="1"/>
      <w:r w:rsidR="00245FDA" w:rsidRPr="00543FF3">
        <w:rPr>
          <w:rFonts w:ascii="Times New Roman" w:hAnsi="Times New Roman"/>
          <w:b/>
          <w:sz w:val="24"/>
          <w:szCs w:val="24"/>
          <w:lang w:val="lv-LV"/>
        </w:rPr>
        <w:t>u</w:t>
      </w:r>
      <w:r w:rsidR="003930A1" w:rsidRPr="00543FF3">
        <w:rPr>
          <w:rFonts w:ascii="Times New Roman" w:hAnsi="Times New Roman"/>
          <w:b/>
          <w:sz w:val="24"/>
          <w:szCs w:val="24"/>
          <w:lang w:val="lv-LV"/>
        </w:rPr>
        <w:t>.</w:t>
      </w:r>
      <w:r w:rsidR="003930A1" w:rsidRPr="00543FF3">
        <w:rPr>
          <w:rFonts w:ascii="Times New Roman" w:hAnsi="Times New Roman"/>
          <w:bCs/>
          <w:sz w:val="24"/>
          <w:szCs w:val="24"/>
          <w:lang w:val="lv-LV"/>
        </w:rPr>
        <w:t xml:space="preserve"> </w:t>
      </w:r>
      <w:r w:rsidRPr="00543FF3">
        <w:rPr>
          <w:rFonts w:ascii="Times New Roman" w:hAnsi="Times New Roman"/>
          <w:bCs/>
          <w:sz w:val="24"/>
          <w:szCs w:val="24"/>
          <w:lang w:val="lv-LV"/>
        </w:rPr>
        <w:t xml:space="preserve"> </w:t>
      </w:r>
      <w:r w:rsidR="003930A1" w:rsidRPr="00543FF3">
        <w:rPr>
          <w:rFonts w:ascii="Times New Roman" w:hAnsi="Times New Roman"/>
          <w:bCs/>
          <w:sz w:val="24"/>
          <w:szCs w:val="24"/>
          <w:lang w:val="lv-LV"/>
        </w:rPr>
        <w:t>G</w:t>
      </w:r>
      <w:r w:rsidRPr="00543FF3">
        <w:rPr>
          <w:rFonts w:ascii="Times New Roman" w:hAnsi="Times New Roman"/>
          <w:bCs/>
          <w:sz w:val="24"/>
          <w:szCs w:val="24"/>
          <w:lang w:val="lv-LV"/>
        </w:rPr>
        <w:t>an minimālās algas, gan kopējā algu līmeņa pieaugums palielina uzņēmēju darbaspēka izmaksas un vēlmi izvairīties no nodokļu nomaksas, samazinot darba ņēmēju nostrādātās darba stundas</w:t>
      </w:r>
      <w:r w:rsidR="00A46ABA" w:rsidRPr="00543FF3">
        <w:rPr>
          <w:rFonts w:ascii="Times New Roman" w:hAnsi="Times New Roman"/>
          <w:bCs/>
          <w:sz w:val="24"/>
          <w:szCs w:val="24"/>
          <w:lang w:val="lv-LV"/>
        </w:rPr>
        <w:t>, kā arī palielina patēriņa cenu pieaugumu.</w:t>
      </w:r>
    </w:p>
    <w:p w14:paraId="346FFFF5" w14:textId="66F4BF05" w:rsidR="00BE768C" w:rsidRPr="00543FF3" w:rsidRDefault="00BE768C" w:rsidP="002F6111">
      <w:pPr>
        <w:pStyle w:val="BodyText2"/>
        <w:spacing w:after="0" w:line="240" w:lineRule="auto"/>
        <w:ind w:firstLine="426"/>
        <w:jc w:val="both"/>
        <w:rPr>
          <w:rFonts w:ascii="Times New Roman" w:hAnsi="Times New Roman"/>
          <w:bCs/>
          <w:sz w:val="24"/>
          <w:szCs w:val="24"/>
          <w:lang w:val="lv-LV"/>
        </w:rPr>
      </w:pPr>
      <w:r w:rsidRPr="00543FF3">
        <w:rPr>
          <w:rFonts w:ascii="Times New Roman" w:hAnsi="Times New Roman"/>
          <w:bCs/>
          <w:sz w:val="24"/>
          <w:szCs w:val="24"/>
          <w:lang w:val="lv-LV"/>
        </w:rPr>
        <w:t xml:space="preserve">Bet ir vairāki faktori, kuru dēļ minimālās algas celšana ir atbalstāma. Pirmkārt, minimālās algas pieaugums tiešā veidā palielina mazo algu saņēmēju pirktspēju, pozitīvi ietekmējot iekšējo pieprasījumu, kas </w:t>
      </w:r>
      <w:r w:rsidR="002B62B8" w:rsidRPr="00543FF3">
        <w:rPr>
          <w:rFonts w:ascii="Times New Roman" w:hAnsi="Times New Roman"/>
          <w:bCs/>
          <w:sz w:val="24"/>
          <w:szCs w:val="24"/>
          <w:lang w:val="lv-LV"/>
        </w:rPr>
        <w:t xml:space="preserve">ir viens no </w:t>
      </w:r>
      <w:r w:rsidRPr="00543FF3">
        <w:rPr>
          <w:rFonts w:ascii="Times New Roman" w:hAnsi="Times New Roman"/>
          <w:bCs/>
          <w:sz w:val="24"/>
          <w:szCs w:val="24"/>
          <w:lang w:val="lv-LV"/>
        </w:rPr>
        <w:t>balst</w:t>
      </w:r>
      <w:r w:rsidR="002B62B8" w:rsidRPr="00543FF3">
        <w:rPr>
          <w:rFonts w:ascii="Times New Roman" w:hAnsi="Times New Roman"/>
          <w:bCs/>
          <w:sz w:val="24"/>
          <w:szCs w:val="24"/>
          <w:lang w:val="lv-LV"/>
        </w:rPr>
        <w:t>iem</w:t>
      </w:r>
      <w:r w:rsidRPr="00543FF3">
        <w:rPr>
          <w:rFonts w:ascii="Times New Roman" w:hAnsi="Times New Roman"/>
          <w:bCs/>
          <w:sz w:val="24"/>
          <w:szCs w:val="24"/>
          <w:lang w:val="lv-LV"/>
        </w:rPr>
        <w:t xml:space="preserve"> ekonomikas izaugsm</w:t>
      </w:r>
      <w:r w:rsidR="002B62B8" w:rsidRPr="00543FF3">
        <w:rPr>
          <w:rFonts w:ascii="Times New Roman" w:hAnsi="Times New Roman"/>
          <w:bCs/>
          <w:sz w:val="24"/>
          <w:szCs w:val="24"/>
          <w:lang w:val="lv-LV"/>
        </w:rPr>
        <w:t>e</w:t>
      </w:r>
      <w:r w:rsidRPr="00543FF3">
        <w:rPr>
          <w:rFonts w:ascii="Times New Roman" w:hAnsi="Times New Roman"/>
          <w:bCs/>
          <w:sz w:val="24"/>
          <w:szCs w:val="24"/>
          <w:lang w:val="lv-LV"/>
        </w:rPr>
        <w:t xml:space="preserve">i. Otrkārt, tas veicinās </w:t>
      </w:r>
      <w:r w:rsidR="00C6615B" w:rsidRPr="00543FF3">
        <w:rPr>
          <w:rFonts w:ascii="Times New Roman" w:hAnsi="Times New Roman"/>
          <w:bCs/>
          <w:sz w:val="24"/>
          <w:szCs w:val="24"/>
          <w:lang w:val="lv-LV"/>
        </w:rPr>
        <w:t xml:space="preserve">algu izlīdzināšanos starp Baltijas valstīm, kā arī </w:t>
      </w:r>
      <w:r w:rsidRPr="00543FF3">
        <w:rPr>
          <w:rFonts w:ascii="Times New Roman" w:hAnsi="Times New Roman"/>
          <w:bCs/>
          <w:sz w:val="24"/>
          <w:szCs w:val="24"/>
          <w:lang w:val="lv-LV"/>
        </w:rPr>
        <w:t xml:space="preserve">algu tuvināšanos </w:t>
      </w:r>
      <w:r w:rsidR="00C60ABB" w:rsidRPr="00543FF3">
        <w:rPr>
          <w:rFonts w:ascii="Times New Roman" w:hAnsi="Times New Roman"/>
          <w:bCs/>
          <w:sz w:val="24"/>
          <w:szCs w:val="24"/>
          <w:lang w:val="lv-LV"/>
        </w:rPr>
        <w:t xml:space="preserve">pārējo </w:t>
      </w:r>
      <w:r w:rsidRPr="00543FF3">
        <w:rPr>
          <w:rFonts w:ascii="Times New Roman" w:hAnsi="Times New Roman"/>
          <w:bCs/>
          <w:sz w:val="24"/>
          <w:szCs w:val="24"/>
          <w:lang w:val="lv-LV"/>
        </w:rPr>
        <w:t xml:space="preserve">ES </w:t>
      </w:r>
      <w:r w:rsidR="00C60ABB" w:rsidRPr="00543FF3">
        <w:rPr>
          <w:rFonts w:ascii="Times New Roman" w:hAnsi="Times New Roman"/>
          <w:bCs/>
          <w:sz w:val="24"/>
          <w:szCs w:val="24"/>
          <w:lang w:val="lv-LV"/>
        </w:rPr>
        <w:t xml:space="preserve">valstu </w:t>
      </w:r>
      <w:r w:rsidRPr="00543FF3">
        <w:rPr>
          <w:rFonts w:ascii="Times New Roman" w:hAnsi="Times New Roman"/>
          <w:bCs/>
          <w:sz w:val="24"/>
          <w:szCs w:val="24"/>
          <w:lang w:val="lv-LV"/>
        </w:rPr>
        <w:t>vidējam līmenim, kas ir viens no instrumentiem emigrācijas plūsmas samazināšanai. Treškārt, algu pieaugums var kļūt par nopietnu stimulu jaunu konkurētspējas priekšrocību (kas nav saistītas ar zemām darbaspēka izmaksām) radīšanai, kā arī veicināt inovāciju un investīcijas jaunajās tehnoloģijās, lai samazinātu izmaksas un palielinātu ražošanas resursu produktivitāti.</w:t>
      </w:r>
    </w:p>
    <w:p w14:paraId="01A912DA" w14:textId="6A66F46D" w:rsidR="002F6111" w:rsidRPr="00543FF3" w:rsidRDefault="002F6111" w:rsidP="002F6111">
      <w:pPr>
        <w:pStyle w:val="BodyText2"/>
        <w:spacing w:after="0" w:line="240" w:lineRule="auto"/>
        <w:ind w:firstLine="426"/>
        <w:jc w:val="both"/>
        <w:rPr>
          <w:rFonts w:ascii="Times New Roman" w:hAnsi="Times New Roman"/>
          <w:bCs/>
          <w:sz w:val="24"/>
          <w:szCs w:val="24"/>
          <w:lang w:val="lv-LV"/>
        </w:rPr>
      </w:pPr>
    </w:p>
    <w:p w14:paraId="079A8647" w14:textId="49B1202C" w:rsidR="0057395F" w:rsidRDefault="002F6111" w:rsidP="0057395F">
      <w:pPr>
        <w:pStyle w:val="BodyText2"/>
        <w:spacing w:after="0" w:line="240" w:lineRule="auto"/>
        <w:ind w:firstLine="426"/>
        <w:jc w:val="both"/>
        <w:rPr>
          <w:rFonts w:ascii="Times New Roman" w:hAnsi="Times New Roman"/>
          <w:bCs/>
          <w:sz w:val="24"/>
          <w:szCs w:val="24"/>
          <w:lang w:val="lv-LV"/>
        </w:rPr>
      </w:pPr>
      <w:r w:rsidRPr="00543FF3">
        <w:rPr>
          <w:rFonts w:ascii="Times New Roman" w:hAnsi="Times New Roman"/>
          <w:bCs/>
          <w:sz w:val="24"/>
          <w:szCs w:val="24"/>
          <w:lang w:val="lv-LV"/>
        </w:rPr>
        <w:t xml:space="preserve">Pamatojoties uz augstāk minēto, </w:t>
      </w:r>
      <w:r w:rsidRPr="00543FF3">
        <w:rPr>
          <w:rFonts w:ascii="Times New Roman" w:hAnsi="Times New Roman"/>
          <w:b/>
          <w:sz w:val="24"/>
          <w:szCs w:val="24"/>
          <w:lang w:val="lv-LV"/>
        </w:rPr>
        <w:t>Ekonomikas ministrija uzskata, ka minimālo mēneša darba algu valstī no 202</w:t>
      </w:r>
      <w:r w:rsidR="00A46ABA" w:rsidRPr="00543FF3">
        <w:rPr>
          <w:rFonts w:ascii="Times New Roman" w:hAnsi="Times New Roman"/>
          <w:b/>
          <w:sz w:val="24"/>
          <w:szCs w:val="24"/>
          <w:lang w:val="lv-LV"/>
        </w:rPr>
        <w:t>4</w:t>
      </w:r>
      <w:r w:rsidRPr="00543FF3">
        <w:rPr>
          <w:rFonts w:ascii="Times New Roman" w:hAnsi="Times New Roman"/>
          <w:b/>
          <w:sz w:val="24"/>
          <w:szCs w:val="24"/>
          <w:lang w:val="lv-LV"/>
        </w:rPr>
        <w:t xml:space="preserve">.gada 1.janvāra būtu vēlams paaugstināt </w:t>
      </w:r>
      <w:r w:rsidR="00522F30" w:rsidRPr="00543FF3">
        <w:rPr>
          <w:rFonts w:ascii="Times New Roman" w:hAnsi="Times New Roman"/>
          <w:b/>
          <w:sz w:val="24"/>
          <w:szCs w:val="24"/>
          <w:lang w:val="lv-LV"/>
        </w:rPr>
        <w:t xml:space="preserve">ne vairāk kā </w:t>
      </w:r>
      <w:r w:rsidR="00A46ABA" w:rsidRPr="00543FF3">
        <w:rPr>
          <w:rFonts w:ascii="Times New Roman" w:hAnsi="Times New Roman"/>
          <w:b/>
          <w:sz w:val="24"/>
          <w:szCs w:val="24"/>
          <w:lang w:val="lv-LV"/>
        </w:rPr>
        <w:t>līdz</w:t>
      </w:r>
      <w:r w:rsidRPr="00543FF3">
        <w:rPr>
          <w:rFonts w:ascii="Times New Roman" w:hAnsi="Times New Roman"/>
          <w:b/>
          <w:sz w:val="24"/>
          <w:szCs w:val="24"/>
          <w:lang w:val="lv-LV"/>
        </w:rPr>
        <w:t xml:space="preserve"> </w:t>
      </w:r>
      <w:r w:rsidR="00A46ABA" w:rsidRPr="00543FF3">
        <w:rPr>
          <w:rFonts w:ascii="Times New Roman" w:hAnsi="Times New Roman"/>
          <w:b/>
          <w:sz w:val="24"/>
          <w:szCs w:val="24"/>
          <w:lang w:val="lv-LV"/>
        </w:rPr>
        <w:t>7</w:t>
      </w:r>
      <w:r w:rsidRPr="00543FF3">
        <w:rPr>
          <w:rFonts w:ascii="Times New Roman" w:hAnsi="Times New Roman"/>
          <w:b/>
          <w:sz w:val="24"/>
          <w:szCs w:val="24"/>
          <w:lang w:val="lv-LV"/>
        </w:rPr>
        <w:t>00 eiro</w:t>
      </w:r>
      <w:r w:rsidR="00A46ABA" w:rsidRPr="00543FF3">
        <w:rPr>
          <w:rFonts w:ascii="Times New Roman" w:hAnsi="Times New Roman"/>
          <w:b/>
          <w:sz w:val="24"/>
          <w:szCs w:val="24"/>
          <w:lang w:val="lv-LV"/>
        </w:rPr>
        <w:t xml:space="preserve">, </w:t>
      </w:r>
      <w:r w:rsidR="00A46ABA" w:rsidRPr="00543FF3">
        <w:rPr>
          <w:rFonts w:ascii="Times New Roman" w:hAnsi="Times New Roman"/>
          <w:bCs/>
          <w:sz w:val="24"/>
          <w:szCs w:val="24"/>
          <w:lang w:val="lv-LV"/>
        </w:rPr>
        <w:t>kā arī atbalsta</w:t>
      </w:r>
      <w:r w:rsidR="0057395F" w:rsidRPr="00543FF3">
        <w:rPr>
          <w:rFonts w:ascii="Times New Roman" w:hAnsi="Times New Roman"/>
          <w:b/>
          <w:sz w:val="24"/>
          <w:szCs w:val="24"/>
          <w:lang w:val="lv-LV"/>
        </w:rPr>
        <w:t xml:space="preserve"> </w:t>
      </w:r>
      <w:r w:rsidR="0057395F" w:rsidRPr="00543FF3">
        <w:rPr>
          <w:rFonts w:ascii="Times New Roman" w:hAnsi="Times New Roman"/>
          <w:bCs/>
          <w:sz w:val="24"/>
          <w:szCs w:val="24"/>
          <w:lang w:val="lv-LV"/>
        </w:rPr>
        <w:t xml:space="preserve">minimālās algas izmaiņas katru gadu ar mērenu kāpumu, kā arī </w:t>
      </w:r>
      <w:r w:rsidR="00543FF3" w:rsidRPr="00543FF3">
        <w:rPr>
          <w:rFonts w:ascii="Times New Roman" w:hAnsi="Times New Roman"/>
          <w:bCs/>
          <w:sz w:val="24"/>
          <w:szCs w:val="24"/>
          <w:lang w:val="lv-LV"/>
        </w:rPr>
        <w:t xml:space="preserve">nepieciešamību </w:t>
      </w:r>
      <w:r w:rsidR="00522F30" w:rsidRPr="00543FF3">
        <w:rPr>
          <w:rFonts w:ascii="Times New Roman" w:hAnsi="Times New Roman"/>
          <w:bCs/>
          <w:sz w:val="24"/>
          <w:szCs w:val="24"/>
          <w:lang w:val="lv-LV"/>
        </w:rPr>
        <w:t xml:space="preserve">ieviest </w:t>
      </w:r>
      <w:r w:rsidR="0057395F" w:rsidRPr="00543FF3">
        <w:rPr>
          <w:rFonts w:ascii="Times New Roman" w:hAnsi="Times New Roman"/>
          <w:bCs/>
          <w:sz w:val="24"/>
          <w:szCs w:val="24"/>
          <w:lang w:val="lv-LV"/>
        </w:rPr>
        <w:t>izmaiņu plān</w:t>
      </w:r>
      <w:r w:rsidR="00522F30" w:rsidRPr="00543FF3">
        <w:rPr>
          <w:rFonts w:ascii="Times New Roman" w:hAnsi="Times New Roman"/>
          <w:bCs/>
          <w:sz w:val="24"/>
          <w:szCs w:val="24"/>
          <w:lang w:val="lv-LV"/>
        </w:rPr>
        <w:t>u</w:t>
      </w:r>
      <w:r w:rsidR="0057395F" w:rsidRPr="00543FF3">
        <w:rPr>
          <w:rFonts w:ascii="Times New Roman" w:hAnsi="Times New Roman"/>
          <w:bCs/>
          <w:sz w:val="24"/>
          <w:szCs w:val="24"/>
          <w:lang w:val="lv-LV"/>
        </w:rPr>
        <w:t xml:space="preserve"> vidējam termiņam, ka ļautu uzņēmējiem </w:t>
      </w:r>
      <w:r w:rsidR="00543FF3" w:rsidRPr="00543FF3">
        <w:rPr>
          <w:rFonts w:ascii="Times New Roman" w:hAnsi="Times New Roman"/>
          <w:bCs/>
          <w:sz w:val="24"/>
          <w:szCs w:val="24"/>
          <w:lang w:val="lv-LV"/>
        </w:rPr>
        <w:t xml:space="preserve">savlaicīgi un paredzami </w:t>
      </w:r>
      <w:r w:rsidR="0057395F" w:rsidRPr="00543FF3">
        <w:rPr>
          <w:rFonts w:ascii="Times New Roman" w:hAnsi="Times New Roman"/>
          <w:bCs/>
          <w:sz w:val="24"/>
          <w:szCs w:val="24"/>
          <w:lang w:val="lv-LV"/>
        </w:rPr>
        <w:t>plānot savas nākotnes izmaksas.</w:t>
      </w:r>
      <w:r w:rsidR="0057395F">
        <w:rPr>
          <w:rFonts w:ascii="Times New Roman" w:hAnsi="Times New Roman"/>
          <w:bCs/>
          <w:sz w:val="24"/>
          <w:szCs w:val="24"/>
          <w:lang w:val="lv-LV"/>
        </w:rPr>
        <w:t xml:space="preserve">   </w:t>
      </w:r>
    </w:p>
    <w:p w14:paraId="30AC8EFC" w14:textId="0A2A83A8" w:rsidR="00875E40" w:rsidRDefault="00D6488C" w:rsidP="00BC401C">
      <w:pPr>
        <w:pStyle w:val="BodyText2"/>
        <w:spacing w:after="0" w:line="240" w:lineRule="auto"/>
        <w:ind w:firstLine="426"/>
        <w:jc w:val="both"/>
        <w:rPr>
          <w:rFonts w:ascii="Times New Roman" w:hAnsi="Times New Roman"/>
          <w:bCs/>
          <w:sz w:val="24"/>
          <w:szCs w:val="24"/>
          <w:lang w:val="lv-LV"/>
        </w:rPr>
      </w:pPr>
    </w:p>
    <w:p w14:paraId="1C0976EA" w14:textId="77777777" w:rsidR="005A4028" w:rsidRPr="00BC401C" w:rsidRDefault="005A4028" w:rsidP="00BC401C">
      <w:pPr>
        <w:pStyle w:val="BodyText2"/>
        <w:spacing w:after="0" w:line="240" w:lineRule="auto"/>
        <w:ind w:firstLine="426"/>
        <w:jc w:val="both"/>
        <w:rPr>
          <w:rFonts w:ascii="Times New Roman" w:hAnsi="Times New Roman"/>
          <w:bCs/>
          <w:sz w:val="24"/>
          <w:szCs w:val="24"/>
          <w:lang w:val="lv-LV"/>
        </w:rPr>
      </w:pPr>
    </w:p>
    <w:sectPr w:rsidR="005A4028" w:rsidRPr="00BC401C" w:rsidSect="005A4028">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DAC233" w14:textId="77777777" w:rsidR="00D6488C" w:rsidRDefault="00D6488C" w:rsidP="00ED3F90">
      <w:pPr>
        <w:spacing w:after="0" w:line="240" w:lineRule="auto"/>
      </w:pPr>
      <w:r>
        <w:separator/>
      </w:r>
    </w:p>
  </w:endnote>
  <w:endnote w:type="continuationSeparator" w:id="0">
    <w:p w14:paraId="5C073BD3" w14:textId="77777777" w:rsidR="00D6488C" w:rsidRDefault="00D6488C" w:rsidP="00ED3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7F84B" w14:textId="77777777" w:rsidR="00F91C4A" w:rsidRDefault="00F91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192149803"/>
      <w:docPartObj>
        <w:docPartGallery w:val="Page Numbers (Bottom of Page)"/>
        <w:docPartUnique/>
      </w:docPartObj>
    </w:sdtPr>
    <w:sdtEndPr>
      <w:rPr>
        <w:noProof/>
      </w:rPr>
    </w:sdtEndPr>
    <w:sdtContent>
      <w:p w14:paraId="5A60BE4F" w14:textId="44012073" w:rsidR="006B785B" w:rsidRPr="006B785B" w:rsidRDefault="006B785B" w:rsidP="005A4028">
        <w:pPr>
          <w:pStyle w:val="Footer"/>
          <w:spacing w:before="120"/>
          <w:jc w:val="center"/>
          <w:rPr>
            <w:rFonts w:ascii="Times New Roman" w:hAnsi="Times New Roman"/>
            <w:sz w:val="24"/>
            <w:szCs w:val="24"/>
          </w:rPr>
        </w:pPr>
        <w:r w:rsidRPr="006B785B">
          <w:rPr>
            <w:rFonts w:ascii="Times New Roman" w:hAnsi="Times New Roman"/>
            <w:sz w:val="24"/>
            <w:szCs w:val="24"/>
          </w:rPr>
          <w:fldChar w:fldCharType="begin"/>
        </w:r>
        <w:r w:rsidRPr="006B785B">
          <w:rPr>
            <w:rFonts w:ascii="Times New Roman" w:hAnsi="Times New Roman"/>
            <w:sz w:val="24"/>
            <w:szCs w:val="24"/>
          </w:rPr>
          <w:instrText xml:space="preserve"> PAGE   \* MERGEFORMAT </w:instrText>
        </w:r>
        <w:r w:rsidRPr="006B785B">
          <w:rPr>
            <w:rFonts w:ascii="Times New Roman" w:hAnsi="Times New Roman"/>
            <w:sz w:val="24"/>
            <w:szCs w:val="24"/>
          </w:rPr>
          <w:fldChar w:fldCharType="separate"/>
        </w:r>
        <w:r w:rsidRPr="006B785B">
          <w:rPr>
            <w:rFonts w:ascii="Times New Roman" w:hAnsi="Times New Roman"/>
            <w:noProof/>
            <w:sz w:val="24"/>
            <w:szCs w:val="24"/>
          </w:rPr>
          <w:t>2</w:t>
        </w:r>
        <w:r w:rsidRPr="006B785B">
          <w:rPr>
            <w:rFonts w:ascii="Times New Roman" w:hAnsi="Times New Roman"/>
            <w:noProof/>
            <w:sz w:val="24"/>
            <w:szCs w:val="24"/>
          </w:rPr>
          <w:fldChar w:fldCharType="end"/>
        </w:r>
      </w:p>
    </w:sdtContent>
  </w:sdt>
  <w:p w14:paraId="00542AF7" w14:textId="77777777" w:rsidR="006B785B" w:rsidRPr="006B785B" w:rsidRDefault="006B785B">
    <w:pPr>
      <w:pStyle w:val="Footer"/>
      <w:rPr>
        <w:rFonts w:ascii="Times New Roman" w:hAnsi="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9E337" w14:textId="77777777" w:rsidR="00F91C4A" w:rsidRDefault="00F91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CCE5C" w14:textId="77777777" w:rsidR="00D6488C" w:rsidRDefault="00D6488C" w:rsidP="00ED3F90">
      <w:pPr>
        <w:spacing w:after="0" w:line="240" w:lineRule="auto"/>
      </w:pPr>
      <w:r>
        <w:separator/>
      </w:r>
    </w:p>
  </w:footnote>
  <w:footnote w:type="continuationSeparator" w:id="0">
    <w:p w14:paraId="685BF883" w14:textId="77777777" w:rsidR="00D6488C" w:rsidRDefault="00D6488C" w:rsidP="00ED3F90">
      <w:pPr>
        <w:spacing w:after="0" w:line="240" w:lineRule="auto"/>
      </w:pPr>
      <w:r>
        <w:continuationSeparator/>
      </w:r>
    </w:p>
  </w:footnote>
  <w:footnote w:id="1">
    <w:p w14:paraId="47299F20" w14:textId="4D155614" w:rsidR="00E3667C" w:rsidRDefault="00E3667C">
      <w:pPr>
        <w:pStyle w:val="FootnoteText"/>
      </w:pPr>
      <w:r>
        <w:rPr>
          <w:rStyle w:val="FootnoteReference"/>
        </w:rPr>
        <w:footnoteRef/>
      </w:r>
      <w:r>
        <w:t xml:space="preserve">  </w:t>
      </w:r>
      <w:proofErr w:type="spellStart"/>
      <w:r w:rsidRPr="006B785B">
        <w:rPr>
          <w:rFonts w:ascii="Times New Roman" w:hAnsi="Times New Roman"/>
        </w:rPr>
        <w:t>Ekonomikas</w:t>
      </w:r>
      <w:proofErr w:type="spellEnd"/>
      <w:r w:rsidRPr="006B785B">
        <w:rPr>
          <w:rFonts w:ascii="Times New Roman" w:hAnsi="Times New Roman"/>
        </w:rPr>
        <w:t xml:space="preserve"> </w:t>
      </w:r>
      <w:proofErr w:type="spellStart"/>
      <w:r w:rsidRPr="006B785B">
        <w:rPr>
          <w:rFonts w:ascii="Times New Roman" w:hAnsi="Times New Roman"/>
        </w:rPr>
        <w:t>ministrijas</w:t>
      </w:r>
      <w:proofErr w:type="spellEnd"/>
      <w:r w:rsidRPr="006B785B">
        <w:rPr>
          <w:rFonts w:ascii="Times New Roman" w:hAnsi="Times New Roman"/>
        </w:rPr>
        <w:t xml:space="preserve"> un </w:t>
      </w:r>
      <w:proofErr w:type="spellStart"/>
      <w:r w:rsidRPr="006B785B">
        <w:rPr>
          <w:rFonts w:ascii="Times New Roman" w:hAnsi="Times New Roman"/>
        </w:rPr>
        <w:t>Finanšu</w:t>
      </w:r>
      <w:proofErr w:type="spellEnd"/>
      <w:r w:rsidRPr="006B785B">
        <w:rPr>
          <w:rFonts w:ascii="Times New Roman" w:hAnsi="Times New Roman"/>
        </w:rPr>
        <w:t xml:space="preserve"> </w:t>
      </w:r>
      <w:proofErr w:type="spellStart"/>
      <w:r w:rsidRPr="006B785B">
        <w:rPr>
          <w:rFonts w:ascii="Times New Roman" w:hAnsi="Times New Roman"/>
        </w:rPr>
        <w:t>ministrijas</w:t>
      </w:r>
      <w:proofErr w:type="spellEnd"/>
      <w:r w:rsidRPr="006B785B">
        <w:rPr>
          <w:rFonts w:ascii="Times New Roman" w:hAnsi="Times New Roman"/>
        </w:rPr>
        <w:t xml:space="preserve"> </w:t>
      </w:r>
      <w:proofErr w:type="spellStart"/>
      <w:r w:rsidRPr="006B785B">
        <w:rPr>
          <w:rFonts w:ascii="Times New Roman" w:hAnsi="Times New Roman"/>
        </w:rPr>
        <w:t>sniegtā</w:t>
      </w:r>
      <w:proofErr w:type="spellEnd"/>
      <w:r w:rsidRPr="006B785B">
        <w:rPr>
          <w:rFonts w:ascii="Times New Roman" w:hAnsi="Times New Roman"/>
        </w:rPr>
        <w:t xml:space="preserve"> </w:t>
      </w:r>
      <w:proofErr w:type="spellStart"/>
      <w:r w:rsidRPr="006B785B">
        <w:rPr>
          <w:rFonts w:ascii="Times New Roman" w:hAnsi="Times New Roman"/>
        </w:rPr>
        <w:t>informācija</w:t>
      </w:r>
      <w:proofErr w:type="spellEnd"/>
      <w:r w:rsidRPr="006B785B">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CEE6D" w14:textId="77777777" w:rsidR="00F91C4A" w:rsidRDefault="00F91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D8405" w14:textId="682ED0B6" w:rsidR="00573CE7" w:rsidRPr="006B785B" w:rsidRDefault="00573CE7" w:rsidP="006B785B">
    <w:pPr>
      <w:spacing w:after="0" w:line="240" w:lineRule="auto"/>
      <w:jc w:val="right"/>
      <w:rPr>
        <w:rFonts w:ascii="Times New Roman" w:eastAsiaTheme="minorHAnsi" w:hAnsi="Times New Roman"/>
        <w:sz w:val="20"/>
        <w:szCs w:val="20"/>
        <w:lang w:val="lv-LV"/>
      </w:rPr>
    </w:pPr>
    <w:proofErr w:type="spellStart"/>
    <w:r w:rsidRPr="006B785B">
      <w:rPr>
        <w:rFonts w:ascii="Times New Roman" w:hAnsi="Times New Roman"/>
        <w:sz w:val="20"/>
        <w:szCs w:val="20"/>
      </w:rPr>
      <w:t>Pielikums</w:t>
    </w:r>
    <w:bookmarkStart w:id="2" w:name="_GoBack"/>
    <w:bookmarkEnd w:id="2"/>
    <w:proofErr w:type="spellEnd"/>
  </w:p>
  <w:p w14:paraId="05AEA2B7" w14:textId="77777777" w:rsidR="00573CE7" w:rsidRPr="006B785B" w:rsidRDefault="00573CE7" w:rsidP="006B785B">
    <w:pPr>
      <w:spacing w:after="0" w:line="240" w:lineRule="auto"/>
      <w:jc w:val="right"/>
      <w:rPr>
        <w:rFonts w:ascii="Times New Roman" w:hAnsi="Times New Roman"/>
        <w:w w:val="90"/>
        <w:sz w:val="20"/>
        <w:szCs w:val="20"/>
      </w:rPr>
    </w:pPr>
    <w:proofErr w:type="spellStart"/>
    <w:r w:rsidRPr="006B785B">
      <w:rPr>
        <w:rFonts w:ascii="Times New Roman" w:hAnsi="Times New Roman"/>
        <w:sz w:val="20"/>
        <w:szCs w:val="20"/>
      </w:rPr>
      <w:t>Ministru</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kabineta</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noteikumu</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projekta</w:t>
    </w:r>
    <w:proofErr w:type="spellEnd"/>
  </w:p>
  <w:p w14:paraId="17A4F35E" w14:textId="77777777" w:rsidR="00573CE7" w:rsidRPr="006B785B" w:rsidRDefault="00573CE7" w:rsidP="006B785B">
    <w:pPr>
      <w:spacing w:after="0" w:line="240" w:lineRule="auto"/>
      <w:jc w:val="right"/>
      <w:rPr>
        <w:rFonts w:ascii="Times New Roman" w:hAnsi="Times New Roman"/>
        <w:sz w:val="20"/>
        <w:szCs w:val="20"/>
      </w:rPr>
    </w:pPr>
    <w:r w:rsidRPr="006B785B">
      <w:rPr>
        <w:rFonts w:ascii="Times New Roman" w:hAnsi="Times New Roman"/>
        <w:sz w:val="20"/>
        <w:szCs w:val="20"/>
      </w:rPr>
      <w:t>„</w:t>
    </w:r>
    <w:proofErr w:type="spellStart"/>
    <w:r w:rsidRPr="006B785B">
      <w:rPr>
        <w:rFonts w:ascii="Times New Roman" w:hAnsi="Times New Roman"/>
        <w:sz w:val="20"/>
        <w:szCs w:val="20"/>
      </w:rPr>
      <w:t>Grozījums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Ministru</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kabineta</w:t>
    </w:r>
    <w:proofErr w:type="spellEnd"/>
    <w:r w:rsidRPr="006B785B">
      <w:rPr>
        <w:rFonts w:ascii="Times New Roman" w:hAnsi="Times New Roman"/>
        <w:sz w:val="20"/>
        <w:szCs w:val="20"/>
      </w:rPr>
      <w:t xml:space="preserve"> 2015.gada </w:t>
    </w:r>
    <w:proofErr w:type="gramStart"/>
    <w:r w:rsidRPr="006B785B">
      <w:rPr>
        <w:rFonts w:ascii="Times New Roman" w:hAnsi="Times New Roman"/>
        <w:sz w:val="20"/>
        <w:szCs w:val="20"/>
      </w:rPr>
      <w:t>24.novembra</w:t>
    </w:r>
    <w:proofErr w:type="gramEnd"/>
    <w:r w:rsidRPr="006B785B">
      <w:rPr>
        <w:rFonts w:ascii="Times New Roman" w:hAnsi="Times New Roman"/>
        <w:sz w:val="20"/>
        <w:szCs w:val="20"/>
      </w:rPr>
      <w:t xml:space="preserve"> </w:t>
    </w:r>
    <w:proofErr w:type="spellStart"/>
    <w:r w:rsidRPr="006B785B">
      <w:rPr>
        <w:rFonts w:ascii="Times New Roman" w:hAnsi="Times New Roman"/>
        <w:sz w:val="20"/>
        <w:szCs w:val="20"/>
      </w:rPr>
      <w:t>noteikumos</w:t>
    </w:r>
    <w:proofErr w:type="spellEnd"/>
    <w:r w:rsidRPr="006B785B">
      <w:rPr>
        <w:rFonts w:ascii="Times New Roman" w:hAnsi="Times New Roman"/>
        <w:sz w:val="20"/>
        <w:szCs w:val="20"/>
      </w:rPr>
      <w:t xml:space="preserve"> Nr.656 </w:t>
    </w:r>
  </w:p>
  <w:p w14:paraId="2E19090F" w14:textId="77777777" w:rsidR="00573CE7" w:rsidRPr="006B785B" w:rsidRDefault="00573CE7" w:rsidP="006B785B">
    <w:pPr>
      <w:spacing w:after="0" w:line="240" w:lineRule="auto"/>
      <w:jc w:val="right"/>
      <w:rPr>
        <w:rFonts w:ascii="Times New Roman" w:hAnsi="Times New Roman"/>
        <w:sz w:val="20"/>
        <w:szCs w:val="20"/>
      </w:rPr>
    </w:pPr>
    <w:r w:rsidRPr="006B785B">
      <w:rPr>
        <w:rFonts w:ascii="Times New Roman" w:hAnsi="Times New Roman"/>
        <w:sz w:val="20"/>
        <w:szCs w:val="20"/>
      </w:rPr>
      <w:t>„</w:t>
    </w:r>
    <w:proofErr w:type="spellStart"/>
    <w:r w:rsidRPr="006B785B">
      <w:rPr>
        <w:rFonts w:ascii="Times New Roman" w:hAnsi="Times New Roman"/>
        <w:sz w:val="20"/>
        <w:szCs w:val="20"/>
      </w:rPr>
      <w:t>Noteikumi</w:t>
    </w:r>
    <w:proofErr w:type="spellEnd"/>
    <w:r w:rsidRPr="006B785B">
      <w:rPr>
        <w:rFonts w:ascii="Times New Roman" w:hAnsi="Times New Roman"/>
        <w:sz w:val="20"/>
        <w:szCs w:val="20"/>
      </w:rPr>
      <w:t xml:space="preserve"> par </w:t>
    </w:r>
    <w:proofErr w:type="spellStart"/>
    <w:r w:rsidRPr="006B785B">
      <w:rPr>
        <w:rFonts w:ascii="Times New Roman" w:hAnsi="Times New Roman"/>
        <w:sz w:val="20"/>
        <w:szCs w:val="20"/>
      </w:rPr>
      <w:t>minimālās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mēneša</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darba</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algas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apmēru</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normālā</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darba</w:t>
    </w:r>
    <w:proofErr w:type="spellEnd"/>
    <w:r w:rsidRPr="006B785B">
      <w:rPr>
        <w:rFonts w:ascii="Times New Roman" w:hAnsi="Times New Roman"/>
        <w:sz w:val="20"/>
        <w:szCs w:val="20"/>
      </w:rPr>
      <w:t xml:space="preserve"> </w:t>
    </w:r>
  </w:p>
  <w:p w14:paraId="117D48DD" w14:textId="77777777" w:rsidR="00573CE7" w:rsidRPr="006B785B" w:rsidRDefault="00573CE7" w:rsidP="006B785B">
    <w:pPr>
      <w:spacing w:after="0" w:line="240" w:lineRule="auto"/>
      <w:jc w:val="right"/>
      <w:rPr>
        <w:rFonts w:ascii="Times New Roman" w:hAnsi="Times New Roman"/>
        <w:sz w:val="20"/>
        <w:szCs w:val="20"/>
      </w:rPr>
    </w:pPr>
    <w:proofErr w:type="spellStart"/>
    <w:r w:rsidRPr="006B785B">
      <w:rPr>
        <w:rFonts w:ascii="Times New Roman" w:hAnsi="Times New Roman"/>
        <w:sz w:val="20"/>
        <w:szCs w:val="20"/>
      </w:rPr>
      <w:t>laika</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ietvaros</w:t>
    </w:r>
    <w:proofErr w:type="spellEnd"/>
    <w:r w:rsidRPr="006B785B">
      <w:rPr>
        <w:rFonts w:ascii="Times New Roman" w:hAnsi="Times New Roman"/>
        <w:sz w:val="20"/>
        <w:szCs w:val="20"/>
      </w:rPr>
      <w:t xml:space="preserve"> un </w:t>
    </w:r>
    <w:proofErr w:type="spellStart"/>
    <w:r w:rsidRPr="006B785B">
      <w:rPr>
        <w:rFonts w:ascii="Times New Roman" w:hAnsi="Times New Roman"/>
        <w:sz w:val="20"/>
        <w:szCs w:val="20"/>
      </w:rPr>
      <w:t>minimālās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stundas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tarifa</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likmes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aprēķināšanu</w:t>
    </w:r>
    <w:proofErr w:type="spellEnd"/>
    <w:r w:rsidRPr="006B785B">
      <w:rPr>
        <w:rFonts w:ascii="Times New Roman" w:hAnsi="Times New Roman"/>
        <w:sz w:val="20"/>
        <w:szCs w:val="20"/>
      </w:rPr>
      <w:t>””</w:t>
    </w:r>
  </w:p>
  <w:p w14:paraId="508E5DA8" w14:textId="200D2EB9" w:rsidR="00573CE7" w:rsidRDefault="00573CE7" w:rsidP="006B785B">
    <w:pPr>
      <w:spacing w:after="0" w:line="240" w:lineRule="auto"/>
      <w:jc w:val="right"/>
      <w:rPr>
        <w:rFonts w:ascii="Times New Roman" w:hAnsi="Times New Roman"/>
        <w:sz w:val="20"/>
        <w:szCs w:val="20"/>
      </w:rPr>
    </w:pPr>
    <w:proofErr w:type="spellStart"/>
    <w:r w:rsidRPr="006B785B">
      <w:rPr>
        <w:rFonts w:ascii="Times New Roman" w:hAnsi="Times New Roman"/>
        <w:sz w:val="20"/>
        <w:szCs w:val="20"/>
      </w:rPr>
      <w:t>sākotnējās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ietekmes</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novērtējuma</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ziņojumam</w:t>
    </w:r>
    <w:proofErr w:type="spellEnd"/>
    <w:r w:rsidRPr="006B785B">
      <w:rPr>
        <w:rFonts w:ascii="Times New Roman" w:hAnsi="Times New Roman"/>
        <w:sz w:val="20"/>
        <w:szCs w:val="20"/>
      </w:rPr>
      <w:t xml:space="preserve"> (</w:t>
    </w:r>
    <w:proofErr w:type="spellStart"/>
    <w:r w:rsidRPr="006B785B">
      <w:rPr>
        <w:rFonts w:ascii="Times New Roman" w:hAnsi="Times New Roman"/>
        <w:sz w:val="20"/>
        <w:szCs w:val="20"/>
      </w:rPr>
      <w:t>anotācijai</w:t>
    </w:r>
    <w:proofErr w:type="spellEnd"/>
    <w:r w:rsidRPr="006B785B">
      <w:rPr>
        <w:rFonts w:ascii="Times New Roman" w:hAnsi="Times New Roman"/>
        <w:sz w:val="20"/>
        <w:szCs w:val="20"/>
      </w:rPr>
      <w:t>)</w:t>
    </w:r>
  </w:p>
  <w:p w14:paraId="34C6332B" w14:textId="77777777" w:rsidR="006B785B" w:rsidRPr="006B785B" w:rsidRDefault="006B785B" w:rsidP="006B785B">
    <w:pPr>
      <w:spacing w:after="0" w:line="240" w:lineRule="auto"/>
      <w:jc w:val="right"/>
      <w:rPr>
        <w:rFonts w:ascii="Times New Roman" w:hAnsi="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3BEB0" w14:textId="77777777" w:rsidR="00F91C4A" w:rsidRDefault="00F91C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4E9"/>
    <w:rsid w:val="00037D44"/>
    <w:rsid w:val="000674E9"/>
    <w:rsid w:val="000940B9"/>
    <w:rsid w:val="000953CD"/>
    <w:rsid w:val="000967A5"/>
    <w:rsid w:val="000D3CD8"/>
    <w:rsid w:val="001A1D4B"/>
    <w:rsid w:val="001B79E8"/>
    <w:rsid w:val="00223D49"/>
    <w:rsid w:val="002418CB"/>
    <w:rsid w:val="00245FDA"/>
    <w:rsid w:val="00263880"/>
    <w:rsid w:val="002A757C"/>
    <w:rsid w:val="002B62B8"/>
    <w:rsid w:val="002F6111"/>
    <w:rsid w:val="003267AD"/>
    <w:rsid w:val="00345C63"/>
    <w:rsid w:val="00364D6C"/>
    <w:rsid w:val="003655F1"/>
    <w:rsid w:val="003930A1"/>
    <w:rsid w:val="004131F2"/>
    <w:rsid w:val="004A7F17"/>
    <w:rsid w:val="004E0A2B"/>
    <w:rsid w:val="00522F30"/>
    <w:rsid w:val="005378B7"/>
    <w:rsid w:val="00543FF3"/>
    <w:rsid w:val="005524A5"/>
    <w:rsid w:val="00572820"/>
    <w:rsid w:val="0057395F"/>
    <w:rsid w:val="00573CE7"/>
    <w:rsid w:val="00580077"/>
    <w:rsid w:val="005A4028"/>
    <w:rsid w:val="00607319"/>
    <w:rsid w:val="0065406B"/>
    <w:rsid w:val="0067624A"/>
    <w:rsid w:val="006B785B"/>
    <w:rsid w:val="006D3C53"/>
    <w:rsid w:val="006E047C"/>
    <w:rsid w:val="006E40EF"/>
    <w:rsid w:val="00716AE3"/>
    <w:rsid w:val="00780BA5"/>
    <w:rsid w:val="007823D5"/>
    <w:rsid w:val="007911D6"/>
    <w:rsid w:val="0079480F"/>
    <w:rsid w:val="007C7B69"/>
    <w:rsid w:val="008316EB"/>
    <w:rsid w:val="00834BAF"/>
    <w:rsid w:val="00847A2A"/>
    <w:rsid w:val="00854FFA"/>
    <w:rsid w:val="0087234E"/>
    <w:rsid w:val="008D4432"/>
    <w:rsid w:val="008F02FD"/>
    <w:rsid w:val="00912345"/>
    <w:rsid w:val="00956195"/>
    <w:rsid w:val="009626D1"/>
    <w:rsid w:val="009A3D53"/>
    <w:rsid w:val="009B70BB"/>
    <w:rsid w:val="009C50A7"/>
    <w:rsid w:val="009F2647"/>
    <w:rsid w:val="00A02D4F"/>
    <w:rsid w:val="00A4278B"/>
    <w:rsid w:val="00A46ABA"/>
    <w:rsid w:val="00A84390"/>
    <w:rsid w:val="00AB282D"/>
    <w:rsid w:val="00AC5F24"/>
    <w:rsid w:val="00AD6574"/>
    <w:rsid w:val="00B8464B"/>
    <w:rsid w:val="00BC401C"/>
    <w:rsid w:val="00BE768C"/>
    <w:rsid w:val="00C23B10"/>
    <w:rsid w:val="00C46824"/>
    <w:rsid w:val="00C53D31"/>
    <w:rsid w:val="00C60ABB"/>
    <w:rsid w:val="00C6615B"/>
    <w:rsid w:val="00CF61B2"/>
    <w:rsid w:val="00D0270C"/>
    <w:rsid w:val="00D6488C"/>
    <w:rsid w:val="00DD5D55"/>
    <w:rsid w:val="00DE1980"/>
    <w:rsid w:val="00DE2C49"/>
    <w:rsid w:val="00DE4342"/>
    <w:rsid w:val="00E022DA"/>
    <w:rsid w:val="00E3667C"/>
    <w:rsid w:val="00EA06F6"/>
    <w:rsid w:val="00EA0A84"/>
    <w:rsid w:val="00ED3F90"/>
    <w:rsid w:val="00EE7406"/>
    <w:rsid w:val="00F24D1C"/>
    <w:rsid w:val="00F52CE2"/>
    <w:rsid w:val="00F72860"/>
    <w:rsid w:val="00F879B5"/>
    <w:rsid w:val="00F91C4A"/>
    <w:rsid w:val="00F94C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C6F4"/>
  <w15:chartTrackingRefBased/>
  <w15:docId w15:val="{D383363F-2571-45C6-9A30-BE532C75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74E9"/>
    <w:pPr>
      <w:widowControl w:val="0"/>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unhideWhenUsed/>
    <w:rsid w:val="000674E9"/>
    <w:pPr>
      <w:spacing w:after="120" w:line="480" w:lineRule="auto"/>
    </w:pPr>
  </w:style>
  <w:style w:type="character" w:customStyle="1" w:styleId="BodyText2Char">
    <w:name w:val="Body Text 2 Char"/>
    <w:basedOn w:val="DefaultParagraphFont"/>
    <w:link w:val="BodyText2"/>
    <w:uiPriority w:val="99"/>
    <w:rsid w:val="000674E9"/>
    <w:rPr>
      <w:rFonts w:ascii="Calibri" w:eastAsia="Calibri" w:hAnsi="Calibri" w:cs="Times New Roman"/>
      <w:lang w:val="en-US"/>
    </w:rPr>
  </w:style>
  <w:style w:type="paragraph" w:styleId="Header">
    <w:name w:val="header"/>
    <w:basedOn w:val="Normal"/>
    <w:link w:val="HeaderChar"/>
    <w:uiPriority w:val="99"/>
    <w:unhideWhenUsed/>
    <w:rsid w:val="00ED3F90"/>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3F90"/>
    <w:rPr>
      <w:rFonts w:ascii="Calibri" w:eastAsia="Calibri" w:hAnsi="Calibri" w:cs="Times New Roman"/>
      <w:lang w:val="en-US"/>
    </w:rPr>
  </w:style>
  <w:style w:type="paragraph" w:styleId="Footer">
    <w:name w:val="footer"/>
    <w:basedOn w:val="Normal"/>
    <w:link w:val="FooterChar"/>
    <w:uiPriority w:val="99"/>
    <w:unhideWhenUsed/>
    <w:rsid w:val="00ED3F90"/>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3F90"/>
    <w:rPr>
      <w:rFonts w:ascii="Calibri" w:eastAsia="Calibri" w:hAnsi="Calibri" w:cs="Times New Roman"/>
      <w:lang w:val="en-US"/>
    </w:rPr>
  </w:style>
  <w:style w:type="paragraph" w:styleId="FootnoteText">
    <w:name w:val="footnote text"/>
    <w:basedOn w:val="Normal"/>
    <w:link w:val="FootnoteTextChar"/>
    <w:uiPriority w:val="99"/>
    <w:semiHidden/>
    <w:unhideWhenUsed/>
    <w:rsid w:val="00E366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667C"/>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E366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0228936">
      <w:bodyDiv w:val="1"/>
      <w:marLeft w:val="0"/>
      <w:marRight w:val="0"/>
      <w:marTop w:val="0"/>
      <w:marBottom w:val="0"/>
      <w:divBdr>
        <w:top w:val="none" w:sz="0" w:space="0" w:color="auto"/>
        <w:left w:val="none" w:sz="0" w:space="0" w:color="auto"/>
        <w:bottom w:val="none" w:sz="0" w:space="0" w:color="auto"/>
        <w:right w:val="none" w:sz="0" w:space="0" w:color="auto"/>
      </w:divBdr>
    </w:div>
    <w:div w:id="188502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CB883-8716-4AAD-BEE8-C9ADDE6DB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11231</Words>
  <Characters>6402</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Šnīdere</dc:creator>
  <cp:keywords/>
  <dc:description/>
  <cp:lastModifiedBy>Nora Isadžanjana-Ponomarjova</cp:lastModifiedBy>
  <cp:revision>2</cp:revision>
  <dcterms:created xsi:type="dcterms:W3CDTF">2023-10-31T09:15:00Z</dcterms:created>
  <dcterms:modified xsi:type="dcterms:W3CDTF">2023-10-31T09:15:00Z</dcterms:modified>
</cp:coreProperties>
</file>