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 (turpmāk – TA projekts) ir Labklājības ministrijas iniciatīva un ir izstrādāts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redakcionāli precizēt 4.3.3.3. pasākuma "Atbalsts sociālajai uzņēmējdarbībai" (turpmāk – 4.3.3.3. pasākums) īstenošanas nosacījumus (turpmāk – MK noteikumi Nr. 818).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818 15.1. apakšpunktā noteikts, ka atbildīgajai iestādei ir jāizstrādā personāla izmaksu vienotās likmes un tās piemērošanas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818 34.2.1. un 34.3. apakšpunktā ir ietverta atsauce uz Eiropas Parlamenta un Padomes 2018. gada 18. jūlija Regulu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MK noteikumu Nr. 818 34.6. apakšpunktu, īstenojot projektu, finansējuma saņēmējam un sadarbības partnerim ir jānovērš dubultā finansējuma risku un jānodrošina, ka projektā sniegtais atbalsts šo noteikumu 3. punktā minētajām mērķa grupām netiek finansēts vai līdzfinansēts un to nav plānots finansēt vai līdzfinansēt no citiem valsts, pašvaldības vai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818 34.8. apakšpunktā finansējuma saņēmējam un sadarbības partnerim ir noteikts pienākums izstrādāt projekta komunikācijas plānu, kā arī organizēt vismaz vienu informatīvo pasākumu vai aktivitāti, tajā iesaistot Eiropas Komisijas pārstāvniecību Latvijā, atbildīgo iestādi, vadošo iestādi un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818 39. punktā noteikts, ka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818 15.1. apakšpunkta redakcija paredz atbildīgās iestādes pienākumu izstrādāt personāla izmaksu vienotās likmes un tās piemērošanas metodiku. Saskaņā ar Finanšu ministrijas kā ES fondu vadošās iestādes (turpmāk – vadošā iestāde) 05.02.2025. vēstulē Nr. 5.1-36/11-2/368 sniegto informāciju, tā turpmāk atbalsta divu veidu pieeju projekta vadības personāla izmaksu attiecināšanu projektu līmenī – a)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2021/1060) 55. panta piemērošanu vai b) faktisko izmaksu piemērošanu. 4.3.3.3. pasākuma indikatīvi noteiktās projekta personāla izmaksas pārsniedz regulas 2021/1060 55. pantā noteikto 20% likmi personāla izmaksām no projekta tiešajām izmaksām, kas nav personāla izmaksas, līdz ar to regulā 2021/1060 noteikto likmi nav iespējams piemērot. Lai izpildītu vadošās iestādes norādes un 4.3.3.3. pasākumā personāla izmaksām piemērotu faktiskās izmaksas, ir jāmaina MK noteikumu Nr. 818 15.1. apakšpunktā noteiktais regulējums un saistītie MK noteikumu Nr. 818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818 34.2.1. un 34.3. apakšpunktā minētā regula 2018/1046 nav spēkā kopš 2024. gada 30. septembra. Tā kā minētajā regulā bija nepieciešams veikt vairākus grozījumus, skaidrības un juridiskās noteiktības labad tika veikti nepieciešamie grozījumi un pieņemta Eiropas Parlamenta un Padomes 2024. gada 23. septembra Regula (ES, Euratom) 2024/2509 par finanšu noteikumiem, ko piemēro Savienības vispārējam budžetam (pārstrādāta redakcija) (turpmāk – regula 2024/2509). Līdz ar to MK noteikumos Nr. 818 lietotā atsauce uz regulu 2018/1046 nav aktuāla un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818 34.6. apakšpunktā noteikts, ka finansējuma saņēmējam un sadarbības partnerim ir jānodrošina, ka 4.3.3.3. pasākumā sniegtais atbalsts netiek finansēts vai līdzfinansēts no citiem finanšu avotiem. Taču minētais nosacījums nelīdzfinansēt ierobežo līdzfinansēšanas iespējas no citiem avotiem, piemēram, izmaksu pieauguma gadījumā. Tāpat MK noteikumos Nr. 818 ir noteikts, ka finanšu atbalsta intensitāte sociālās uzņēmējdarbības uzsācējiem ir 90% apmērā no biznesa plānā iekļautajām attiecināmajām izmaksām, savukārt, esošiem sociālajiem uzņēmumiem – 60%. Līdz ar to sociālajiem uzņēmumiem atlikušās daļas finansēšanai ir jāpiesaista savi resursi vai ārējais finansējums. Taču šobrīd esošā MK noteikumu Nr. 818 34.6. apakšpunkta redakcija liedz piesaistīt ārējo finansējumu biznesa plāna realizēšanai, un 4.3.3.3. pasākuma normatīvajā regulējumā identificējamas pretrunas.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kohēzijas politikas programmā 2021.–2027. gadam ir noteiktas vairākas stratēģiski svarīgas darbības un projekti, tai skaitā arī 4.3.3.3. pasākums. Saskaņā ar Ministru kabineta 2023. gada 13. jūlija noteikumu Nr. 408 “Kārtība, kādā Eiropas Savienības fondu vadībā iesaistītās institūcijas nodrošina šo fondu ieviešanu 2021. –2027. gada plānošanas periodā” (turpmāk – MK noteikumi Nr. 408) 39.6. apakšpunktu, Labklājības ministrijai kā atbildīgajai iestādei (turpmāk – atbildīgā iestāde) ir jānodrošina komunikācijas un publicitātes pasākumus par stratēģiski svarīgiem projektiem un darbībām. Savukārt, atbilstoši ES fondu 2021.–2027. gada plānošanas perioda un Atveseļošanas fonda komunikācijas un dizaina vadlīnijās noteiktajam, stratēģiski svarīgo projektu/darbību gadījumā finansējuma saņēmējs izstrādā komunikācijas plānu. Lai nodrošinātu abu iepriekšminēto uzdevumu izpildi, MK noteikumu Nr. 818 34.8. apakšpunktā ir noteikts, ka finansējuma saņēmējs izstrādā projekta komunikācijas plānu, kā arī organizē vismaz vienu informatīvo pasākumu vai aktivitāti, tajā iesaistot Eiropas Komisijas pārstāvniecību Latvijā, atbildīgo iestādi, vadošo iestādi un sadarbības iestādi. Taču minētais regulējums neuzliek par pienākumu finansējuma saņēmējam informēt atbildīgo iestādi par plānotajiem komunikācijas pasākumiem un izmaiņām tajos, kas ir būtiski atbildīgajai iestādei MK noteikumos Nr. 408 noteikto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2018. gada 21. novembra noteikumi Nr. 715 "De minimis atbalsta uzskaites un piešķiršanas kārtība" (turpmāk – MK noteikumi Nr. 715) noteica, ka </w:t>
      </w:r>
      <w:r w:rsidR="00000000" w:rsidRPr="00000000" w:rsidDel="00000000">
        <w:rPr>
          <w:i w:val="1"/>
          <w:rtl w:val="0"/>
        </w:rPr>
        <w:t xml:space="preserve">de minimis</w:t>
      </w:r>
      <w:r w:rsidR="00000000" w:rsidRPr="00000000" w:rsidDel="00000000">
        <w:rPr>
          <w:rtl w:val="0"/>
        </w:rPr>
        <w:t xml:space="preserve"> atbalsta uzskaite jāveic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veidlapu paraugiem. Taču 2024. gada 1. jūlijā stājušies spēkā MK noteikumu Nr. 715 grozījumi, kā rezultātā vairs nav noteikta prasība </w:t>
      </w:r>
      <w:r w:rsidR="00000000" w:rsidRPr="00000000" w:rsidDel="00000000">
        <w:rPr>
          <w:i w:val="1"/>
          <w:rtl w:val="0"/>
        </w:rPr>
        <w:t xml:space="preserve">de minimis</w:t>
      </w:r>
      <w:r w:rsidR="00000000" w:rsidRPr="00000000" w:rsidDel="00000000">
        <w:rPr>
          <w:rtl w:val="0"/>
        </w:rPr>
        <w:t xml:space="preserve"> uzskaiti veikt atbilstoši </w:t>
      </w:r>
      <w:r w:rsidR="00000000" w:rsidRPr="00000000" w:rsidDel="00000000">
        <w:rPr>
          <w:i w:val="1"/>
          <w:rtl w:val="0"/>
        </w:rPr>
        <w:t xml:space="preserve">de minimis</w:t>
      </w:r>
      <w:r w:rsidR="00000000" w:rsidRPr="00000000" w:rsidDel="00000000">
        <w:rPr>
          <w:rtl w:val="0"/>
        </w:rPr>
        <w:t xml:space="preserve"> atbalsta veidlapu paraugiem.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MK noteikumos Nr. 818 ir nepieciešams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15.1. apakšpunktu, paredzot finansējuma saņēmēja projekta vadības un īstenošanas personāla un sadarbības partnera projekta īstenošanas personāla izmaksām piemērot faktiskās izmaksas (t.sk., svītrot nosacījumus par personāla izmaksu metodikas izstrādi un apstiprināšanu). Finansējuma saņēmējs un sadarbības partneris personāla izmaksas plāno un veic atbilstoši </w:t>
      </w:r>
      <w:r w:rsidR="00000000" w:rsidRPr="00000000" w:rsidDel="00000000">
        <w:rPr>
          <w:u w:val="single"/>
          <w:rtl w:val="0"/>
        </w:rPr>
        <w:t xml:space="preserve">aktuālajām </w:t>
      </w:r>
      <w:r w:rsidR="00000000" w:rsidRPr="00000000" w:rsidDel="00000000">
        <w:rPr>
          <w:rtl w:val="0"/>
        </w:rPr>
        <w:t xml:space="preserve">vadošās iestādes vadlīnijām attiecināmo izmaksu noteikšanai Eiropas Savienības kohēzijas politikas programmas 2021.– 2027. gada plānošanas periodā (turpmāk – attiecināmo izmaksu vadlīnijas), kas cita starpā personāla izmaksām šobrīd paredz arī nosacījumu par 30 procenta noslodzes nepieciešamību daļlaika noslodzes gadījumā, kā arī redzes korekcijas līdzekļu kompensāciju un veselības apdrošināšanas izmaksas. Ņemot vērā minēto, nepieciešams svītrot 15.2., 15.4.3. un 16.5. apakšpunktu. Ja attiecināmo izmaksu vadlīnijas tiks precizētas, atbilstoši TA projektā noteiktajai 15.1. apakšpunkta redakcijai tās būs saistošas personāla izmaksu noteikšanai gan finansējuma saņēmējam, gan tā sadarbības partnerim, un ļaus pēc iespējas ātrāk uzsākt to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atsauci uz aktuālo regulu par finanšu noteikumiem, ko piemēro Eiropas Savienības vispārējam budžetam, proti, regulu 2024/2509;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34.6. apakšpunktā vārdu “līdzfinansēt”, novēršot ierobežojumu sociālajiem uzņēmumiem savu ieguldījuma daļu līdzfinansēt no citiem avotiem, kā arī,  piemēram, saņemt līdzfinansējumu izmaksu pieauguma gadījumā. Dubultnefinansēšanas novēršanas kontekstā ir būtiski, ka vienas un tās pašas darbības un izmaksas netiek finansētas no vairākiem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34.8. apakšpunktā veikt precizējumus, paredzot finansējuma saņēmējam kā stratēģiski svarīgā projekta īstenotājam pienākumu izstrādāt un iesniegt atbildīgajai iestādei komunikācijas pasākumu plānu. Pienākums attiecināms arī uz komunikācijas pasākumu plāna grozījumiem, ja tādi 4.3.3.3. pasākuma īstenošanas laikā komunikācijas plānā tiks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redakcionāli precizēt 39. punktā atsauci uz MK noteikumiem Nr. 715 un atbilstoši 2024. gada 1.jūlija grozījumiem tajos svītrojot vārdus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pamatā paredz redakcionālus un tehniskus precizējumus, kas varētu izsaukt nepieciešamību veikt tehniskus/redakcionālus precizējumus Centrālās finanšu un līgumu aģentūras un Labklājības ministrijas kā finansējuma saņēmēja vienošanās par projekta īstenošanu. Tāpēc finansējuma saņēmējam tiks lūgts izvērtēt vienošanās grozījumu nepieciešamību pēc TA projekta spēkā stāšanās. Tā kā līdzšinēji 4.3.3.3. pasākuma projektā personāla izmaksām jau tiek piemērots faktisko izmaksu princips, izmaiņas MK noteikumu 15.1. apakšpunktā nemaina līdzšinējo kārtību un nerada papildu slogu finansējuma saņēmējam.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2024/2509 par finanšu noteikumiem, ko piemēro Savienības vispārējam budžetam (pārstrādāta redakcija) (turpmāk – regula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2024/2509 par finanšu noteikumiem, ko piemēro Savienības vispārējam budžetam (pārstrādāta redakcija) (turpmāk – regula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2024/2509,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34.2.1. un 34.3.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24-TA-3333</w:t>
    </w:r>
    <w:r>
      <w:br/>
    </w:r>
    <w:r w:rsidR="00000000" w:rsidRPr="00000000" w:rsidDel="00000000">
      <w:rPr>
        <w:rtl w:val="0"/>
      </w:rPr>
      <w:t xml:space="preserve">Izdrukāts 29.07.2026. 22.03 - 3.0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24-TA-3333</w:t>
    </w:r>
    <w:r>
      <w:br/>
    </w:r>
    <w:r w:rsidR="00000000" w:rsidRPr="00000000" w:rsidDel="00000000">
      <w:rPr>
        <w:rtl w:val="0"/>
      </w:rPr>
      <w:t xml:space="preserve">Izdrukāts 29.07.2026. 22.03 - 3.0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anotācija_(ex_ante)_24-TA-3333.docx</dc:title>
</cp:coreProperties>
</file>

<file path=docProps/custom.xml><?xml version="1.0" encoding="utf-8"?>
<Properties xmlns="http://schemas.openxmlformats.org/officeDocument/2006/custom-properties" xmlns:vt="http://schemas.openxmlformats.org/officeDocument/2006/docPropsVTypes"/>
</file>