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budžetu un finanšu vadību 19.</w:t>
      </w:r>
      <w:r w:rsidR="00000000" w:rsidRPr="00000000" w:rsidDel="00000000">
        <w:rPr>
          <w:vertAlign w:val="superscript"/>
          <w:rtl w:val="0"/>
        </w:rPr>
        <w:t xml:space="preserve">3 </w:t>
      </w:r>
      <w:r w:rsidR="00000000" w:rsidRPr="00000000" w:rsidDel="00000000">
        <w:rPr>
          <w:rtl w:val="0"/>
        </w:rPr>
        <w:t xml:space="preserve">panta otrā daļa uzliek pienākumu Ministru kabinetam izveidot efektīvu, pārskatāmu un pareizas finanšu pārvaldības principiem atbilstošu uzraudzības kārtību Eiropas Savienības budžeta programmas Eiropas Atveseļošanas un noturības mehānisma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 (turpmāk - MK noteikumi) ietvaros tiks nodrošināts komercdarbības atbalsts sīkajiem (mikro), mazajiem, vidējiem un lielajiem komersantiem, t.sk. kapitālsabiedrībām un pētniecības un zināšanu izplatīšanas organizācijām, lai uzņēmumi varētu izstrādāt jaunus produktus, pakalpojumus vai tehnoloģijas viedās specializācijas jomās, kas veicina zemu oglekļa emisiju ekonomiku vai noturību pret klimata pārmaiņām vai pielāgošanos tām.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mērķis ir finansējuma pieejamības nodrošināšana jaunu produktu, tehnoloģiju un pakalpojumu izstrādei viedās specializācijas jomās, kas veicina zemu oglekļa emisiju ekonomiku vai noturību pret klimata pārmaiņām vai pielāgošanos tām, piesaistot Atveseļošanas un noturības mehānisma (turpmāk - Atveseļošanas fonds) plāna finansējumu privāto līdzfinansējumu.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2021. gada 28. aprīlī (prot. Nr. 36 27. §) apstiprināja rīkojumu Nr.292 “Par Latvijas Atveseļošanas un noturības mehānisma plānu”, kas iesniegts Eiropas Komisijā 2021. gada 30. aprīlī. Atveseļošanas fonda Padomes Īstenošanas lēmums 2021. gada 13. jūlijā apstiprināts Eiropas Savienības Ekonomikas un finanšu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Apstiprinātā Atveseļošanas fonda ietvaros piešķirts finansējums klimata pārmaiņas un vides ilgtspēja reformai,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(turpmāk – 1.2.1.2.i. investīcija) paredz veicināt zemu oglekļa emisiju ekonomiku vai noturību pret klimata pārmaiņām vai pielāgošanos 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Atveseļošanas fonda plāna klimata pārmaiņas un vides ilgtspēja reformas finansējums ir 120 586 000 </w:t>
      </w:r>
      <w:r w:rsidR="00000000" w:rsidRPr="00000000" w:rsidDel="00000000">
        <w:rPr>
          <w:i w:val="1"/>
          <w:rtl w:val="0"/>
        </w:rPr>
        <w:t xml:space="preserve">euro</w:t>
      </w:r>
      <w:r w:rsidR="00000000" w:rsidRPr="00000000" w:rsidDel="00000000">
        <w:rPr>
          <w:rtl w:val="0"/>
        </w:rPr>
        <w:t xml:space="preserve">. 1.2.1.2.i. investīciju plānots dalīt 2 tiesību aktu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Apstiprināti Ministru kabineta 2022.gada 20.septembra noteikumi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(turpmāk – 1.2.1.2.i. 1.pasākums). Kopējais finansējums 80 586 000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projekta tiesību akta projekta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 Kopējais finansējums 40 000 000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1.2.1.2.i. investīcijas dalījums divās kārtās nepieciešams, lai nodrošinātu efektīvāku atbalsta piešķiršanu ar skaidrāku komercdarbības atbalsta piešķiršanas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Dalījums divos atbalsta pasākumos 1.2.1.2.i. investīcijas ietvaros nodrošina Ekonomikas ministrijai (turpmāk – nozares ministrija) un Centrālai finanšu un līgumu aģentūrai (turpmāk – aģentūra) vieglāku investīcijas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2014.–2020. gada plānošanas periodā tika realizēta līdzīga programma – Darbības programmas "Izaugsme un nodarbinātība" 1.2.1. specifiskā atbalsta mērķa "Palielināt privātā sektora investīcijas P&amp;A" 1.2.1.1. pasākuma "Atbalsts jaunu produktu un tehnoloģiju izstrādei kompetences centru ietvaros" otrās un ceturtās kārtas ietvaros noteikumi (turpmāk - Kompetences centru programma). Kompetences centru programmas ietvaros tika apstiprināti 16 projekti. Pasākuma mērķis bija komersantu konkurētspējas paaugstināšana, veicinot pētniecības un rūpniecības sektora sadarbību, īstenojot projektus, kas attīsta jaunus produktus un tehnoloģijas un ievieš tās ražošanā. Kompetences centru programmas ietvaros pētniecību veica tādi kompetences centru, kuros ietilpst nozaru asociācijas ar plašu biedru loku un plašām zināšanām par nozares attīstību, līdz ar ko arī viedās specializācijas jomu attīstību. Kompetences centru programmas ietvaros (atbalsts tika sniegts grantu veidā, programmā bija pieejams finansējums 62 milj. </w:t>
      </w:r>
      <w:r w:rsidR="00000000" w:rsidRPr="00000000" w:rsidDel="00000000">
        <w:rPr>
          <w:i w:val="1"/>
          <w:rtl w:val="0"/>
        </w:rPr>
        <w:t xml:space="preserve">euro</w:t>
      </w:r>
      <w:r w:rsidR="00000000" w:rsidRPr="00000000" w:rsidDel="00000000">
        <w:rPr>
          <w:rtl w:val="0"/>
        </w:rPr>
        <w:t xml:space="preserve">, privātais līdzfinansējums ~52 milj. </w:t>
      </w:r>
      <w:r w:rsidR="00000000" w:rsidRPr="00000000" w:rsidDel="00000000">
        <w:rPr>
          <w:i w:val="1"/>
          <w:rtl w:val="0"/>
        </w:rPr>
        <w:t xml:space="preserve">euro</w:t>
      </w:r>
      <w:r w:rsidR="00000000" w:rsidRPr="00000000" w:rsidDel="00000000">
        <w:rPr>
          <w:rtl w:val="0"/>
        </w:rPr>
        <w:t xml:space="preserve">), plānotie mērķi un rādītāji tika pārsniegti vairākkārt: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atbalstīti 322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jaunradīti un izstrādāti 610 jauni produkti, pakalpojumi vai tehnoloģijas, no kuriem 172 ieviesti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2021.gadam pret 2015.gadu komersantu apgrozījuma pieaudzis par 254.8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rezultātā komersantu eksporta apjoma pieaugums 2021.gadā 519 milj. </w:t>
      </w:r>
      <w:r w:rsidR="00000000" w:rsidRPr="00000000" w:rsidDel="00000000">
        <w:rPr>
          <w:i w:val="1"/>
          <w:rtl w:val="0"/>
        </w:rPr>
        <w:t xml:space="preserve">euro </w:t>
      </w:r>
      <w:r w:rsidR="00000000" w:rsidRPr="00000000" w:rsidDel="00000000">
        <w:rPr>
          <w:rtl w:val="0"/>
        </w:rPr>
        <w:t xml:space="preserve">salīdzinājumā ar 2015.gadu;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izveidotas 1149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centru programmas sasniegtie rādītāji un realizētās aktivitātes apliecina programmas pienesumu Nacionālās industriālās politikas pamatnostādņu 2014 – 2021 piektā rīcības virziena – eksporta vecināšana, mērķu sasniegšanā.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industriālās politikas pamatnostādnēs 2021. – 2027. gadam viens no šķēršļiem Latvijas tautsaimniecības virzībai uz inovatīvu un zināšanu balstītu ekonomikas modeli ir zemais pētniecības un attīstības ieguldījumu apmērs kā valsts, tā arī uzņēmumu sektorā, kā arī pašu pētniecības un attīstības intensīvo nozaru zemais īpatsvars ekonomikā.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Latvijā 2021.gadā pētniecībā un attīstībā kopumā bija investēti 248.89 milj. </w:t>
      </w:r>
      <w:r w:rsidR="00000000" w:rsidRPr="00000000" w:rsidDel="00000000">
        <w:rPr>
          <w:i w:val="1"/>
          <w:rtl w:val="0"/>
        </w:rPr>
        <w:t xml:space="preserve">euro </w:t>
      </w:r>
      <w:r w:rsidR="00000000" w:rsidRPr="00000000" w:rsidDel="00000000">
        <w:rPr>
          <w:rtl w:val="0"/>
        </w:rPr>
        <w:t xml:space="preserve">jeb 0,74% no IKP, kas ir pēdējos desmit gados augstākais līmenis, tomēr tas joprojām ir zemāks nekā vidēji ES (2,44% no IKP), kā arī zemāks nekā Baltijas kaimiņvalstīs - Lietuvā kopējie ieguldījumi P&amp;A veido 1,16% no IKP, bet Igaunijā 1,79% no IKP. Salīdzinot ar 2020.gadu, kopējās investīcijas P&amp;A Latvijā palielinājās par 11,15%. Kopš 2017.gada ieguldījumu apjoms P&amp;A pieauga gandrīz 1,8 reizes, ko galvenokārt noteica valsts finansētie ieguldījumi. Pozitīva dinamika ir vērojama privātā sektora (uzņēmumu) ieguldījumiem P&amp;A 2021. gadā uzņēmumu investīcijas P&amp;A bija 83,30 milj. </w:t>
      </w:r>
      <w:r w:rsidR="00000000" w:rsidRPr="00000000" w:rsidDel="00000000">
        <w:rPr>
          <w:i w:val="1"/>
          <w:rtl w:val="0"/>
        </w:rPr>
        <w:t xml:space="preserve">euro </w:t>
      </w:r>
      <w:r w:rsidR="00000000" w:rsidRPr="00000000" w:rsidDel="00000000">
        <w:rPr>
          <w:rtl w:val="0"/>
        </w:rPr>
        <w:t xml:space="preserve">apjomā jeb 33.4% no kopējiem ieguldījumiem P&amp;A.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ekonomiskā virzība nav devusi pietiekamu sniegumu, lai Latvija spētu nodrošināt vienlīdz ātru attīstības tempu kā Eiropas Savienības ekonomiski spēcīgākās valstis, kā arī COVID-19 radītie izaicinājumi ekonomisko situāciju ir būtiski ietekmējuši vadošo nozaru attīstību. Ņemot vērā iepriekšminēto, lai veicinātu Latvijas komersantus  inovētspēju, nepieciešams turpināt mērķtiecīgus ieguldījumus pētniecības attīstībā, tai skaitā viedās specializācijas jomu attīstībai. Atveseļošanas fonda iekļautās aktivitātes saskan ar Nacionālās industriālās politikas pamatnostādnēs 2021.-2027. gadam iekļautajiem uzdevumiem “Privātā un publiskā sektora investīciju vecināšana P&amp;A&amp;I” un “Uzņēmumu vadītu lietišķo pētījumu atbalsts”. Aktivitātes ietver izstrādāt inovatīvus, augstas pievienotās vērtības produktus, kā arī veicināt šo produktu eksportu, paaugstināt uzņēmējdarbības sektora pētniecības un attīstības izdevumu apjomu, veicināt sadarbību starp uzņēmējdarbības un pētniecības sektoriem, kā arī vecināt Latvijas uzņēmumu iesaisti starptautiskās tīklošanās platformās un starptautiskos pētniecības un attīstības projektos, izmantojot mērķtiecīgus valsts ieguldījumus.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ir vērsts uz “Deklarācija par Evikas Siliņas vadītā Ministru kabineta iecerēto darbību” dotā uzdevuma Nr. 23 - veidosim inovācijas ekosistēmu, cieši sadarbojoties publiskajam, privātajam, akadēmiskajam un nevalstiskajam sektoram -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Latvijas tautsaimniecības transformāciju uz viedās specializācijas jomām un attīstītu ar tehnoloģijām un inovācijām saistītās konkurences priekšrocības, MK noteikumos atbalstu plānots sniegt sīkajiem (mikro), mazajiem, vidējiem, lielajiem komersantiem, tai skaitā valsts kapitālsabiedrībām un pētniecības un zināšanu izplatīšanas organizācijām, kas attīsta produktus un tehnoloģijas viedās specializācijas jomās, nodrošinot atbalstu pētniecībai -  ar projektu un pētniecības projektu saistītām izmaksām, rūpnieciskajiem pētījumiem, eksperimentālām izstrādēm, tehniski ekonomiskais priekšizpētei.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īstenošanas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ietvaros izveidots atbalsta instruments pētniecības veicināšanai granti jaunu produktu, tehnoloģiju un pakalpojumu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kopējais finansējuma apmērs ir 40 000 000 </w:t>
      </w:r>
      <w:r w:rsidR="00000000" w:rsidRPr="00000000" w:rsidDel="00000000">
        <w:rPr>
          <w:i w:val="1"/>
          <w:rtl w:val="0"/>
        </w:rPr>
        <w:t xml:space="preserve">euro</w:t>
      </w:r>
      <w:r w:rsidR="00000000" w:rsidRPr="00000000" w:rsidDel="00000000">
        <w:rPr>
          <w:rtl w:val="0"/>
        </w:rPr>
        <w:t xml:space="preserve">,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vienam finansējuma saņēmējam maksimāli pieļaujamais finansējums ir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vienam sadarbības partnerim maksimāli pieejamais finansējums ir ne vairāk kā 1 250 000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atbalsts granta veidā tiek sniegts gan finansējuma saņēmējam, gan sadarbības partneriem kā gala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ietvaros notiek divu līmeņu atklātas procedūras atlases – finansējuma saņēmēja un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saņēmēja atlasi organizēs Centrālā finanšu un līgumu aģentūra (turpmāk – Aģentūra), savukārt pētniecības projektu atlasi veiks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projektu atlasei tiek veidota no interešu konflikta, korupcijas un krāpšanas brīva pētniecības projektu vērtēšanas komisija, kas veic pētniecības projektu zinātnisko aspektu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saņēmējs apkopo pētniecības projektu vērtēšanas komisijas vērtētos pētniecības projektu iesniegumus un ar līguma grozījumu pieprasījumu iesniedz Aģentūrai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Aģentūra ar līguma grozījumiem informē finansējuma saņēmēju par projektā iesaistītajiem sadarbības partneriem. Secīgi finansējuma saņēmējs slēdz līgumu ar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pētniecības projektu atlases un līguma grozījumu noslēgšanas ar Aģentūru, notiek pētniecības projekta īstenošana, kā rezultāta finansējuma saņēmējs iesniedz progresa pārskatus (maksājuma pieprasījumus) un atskaitās par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 veic projekta uzraudzību atbilstoši MK noteikumu nosacījumiem. Konstatētu pārkāpumu gadījumā saistībā ar komercdarbības atbalsta kontroles normām sadarbības partnerim, finansējuma saņēmējam ir pienākums atmaksāt Aģentūrai nelikumīgo projekta ietvaros saņemto komercdarbības atbalstu kopā ar procentiem no līdzekļiem, kas ir brīvi no komercdarbības atbalsta. Finansējuma saņēmējs savstarpēji ar sadarbības partneri risina saistību nokārtošanu;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plānotie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plānots sniegt vismaz 8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varētu tikt atbalstīti 60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jaunradīti un izstrādāti 210 jauni produkti, pakalpojumi vai tehnoloģijas, no kuriem 63 ieviesti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apgrozījuma pieaugums pētniecības projekta noslēgšanas gadā pret pētniecības projekta uzsākšanas gadu - 84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eksporta pieaugums pētniecības projekta noslēgšanas gadā pret pētniecības projekta uzsākšanas gadu - 58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izveidotas 500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piesaistītais privāto investīciju apmērs vismaz 26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Aprēķini veikti, balstoties uz nozares ministrijas aplēsēm un Darbības programmas "Izaugsme un nodarbinātība" 1.2.1. specifiskā atbalsta mērķa "Palielināt privātā sektora investīcijas P&amp;A" 1.2.1.1. pasākuma "Atbalsts jaunu produktu un tehnoloģiju izstrādei kompetences centru ietvaros"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nosaka īstenošanas un uzraudzības kārtību atbalsta sniegšanai pētniecības veicināšanai jaunu produktu, tehnoloģiju un pakalpojumu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kopējais pieejamais finansējums ir  40 000 000 </w:t>
      </w:r>
      <w:r w:rsidR="00000000" w:rsidRPr="00000000" w:rsidDel="00000000">
        <w:rPr>
          <w:i w:val="1"/>
          <w:rtl w:val="0"/>
        </w:rPr>
        <w:t xml:space="preserve">euro </w:t>
      </w:r>
      <w:r w:rsidR="00000000" w:rsidRPr="00000000" w:rsidDel="00000000">
        <w:rPr>
          <w:rtl w:val="0"/>
        </w:rPr>
        <w:t xml:space="preserve">pētniecības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finansējuma saņēmējs ir sabiedrība ar ierobežotu atbildību vai biedrība, kas atbilst MK noteikumu 29.punktā noteiktajām prasībām. Finansējuma saņēmējam pie atlases tiks vērtēti noteikti arī kritēriji – piemēram, atbilstībā Viedās specializācijas jomas stratēģijas noteiktajiem mērķiem un darbībām, apgrozījums, eksports, projekta vadītāja pieredze inovāciju projektu vadībā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mērķa grupa ir sīkie (mikro), mazie, vidējie, lielie komersanti t.sk. valsts kapitālsabiedrības  un pētniecības un zināšanu izplatīšanas organizācijas, kas attīsta produktus un tehnoloģijas viedās specializācijas jomās, kas atbilst MK noteikumu 100.punktā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tiek sniegts atbalsts grantu veidā,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3. pantu un Komisijas 2014. gada 17. jūnija Regulas (ES) Nr. 651/2014, ar ko noteiktas atbalsta kategorijas atzīst par saderīgām ar iekšējo tirgu, piemērojot Līguma 107. un 108. pantu (turpmāk – Komisijas Regula Nr. 651/2014) 25.panta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izstrādāti, ņemot vērā ar Eiropas Komisiju saskaņotu viedokli par konkrētiem atbalsta sniegšanas un lēmuma pieņemšanas nosacījumiem, lai nodrošinātu investīcijas ieviešanu un samazinātu riskus rādītāju nesasniegšanai.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1.2.1.2.i. 2.pasākuma ietvaros ir noteikti šādi rādītāji: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23"/>
        <w:gridCol w:w="7817"/>
        <w:gridCol w:w="7817"/>
        <w:tblGridChange w:id="0">
          <w:tblGrid>
            <w:gridCol w:w="1523"/>
            <w:gridCol w:w="7817"/>
            <w:gridCol w:w="781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Mērķis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2024. gada 31.decembrim apstiprināt projektus par vismaz 36 000 000 </w:t>
            </w:r>
            <w:r w:rsidR="00000000" w:rsidRPr="00000000" w:rsidDel="00000000">
              <w:rPr>
                <w:sz w:val="24"/>
                <w:i w:val="1"/>
                <w:rtl w:val="0"/>
              </w:rPr>
              <w:t xml:space="preserve">euro</w:t>
            </w:r>
            <w:r w:rsidR="00000000" w:rsidRPr="00000000" w:rsidDel="00000000">
              <w:rPr>
                <w:sz w:val="24"/>
                <w:rtl w:val="0"/>
              </w:rPr>
              <w:t xml:space="preserve">; (daļa no rādītāja Nr.12)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Atbalstīto uzņēmumu skaits (sīkie (mikro), mazie, vidējie un lielie).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Atveseļošanas fonda plāna Darbības kārtībā, par kuru vienojas Eiropas Komisija un Latvija, daļa no noteiktā uzraudzības rādītāja Nr. 12.1. “līdz 2023. gada 31. decembrim apstiprināt projektus par vismaz 10 000 000 </w:t>
      </w:r>
      <w:r w:rsidR="00000000" w:rsidRPr="00000000" w:rsidDel="00000000">
        <w:rPr>
          <w:i w:val="1"/>
          <w:rtl w:val="0"/>
        </w:rPr>
        <w:t xml:space="preserve">euro</w:t>
      </w:r>
      <w:r w:rsidR="00000000" w:rsidRPr="00000000" w:rsidDel="00000000">
        <w:rPr>
          <w:rtl w:val="0"/>
        </w:rPr>
        <w:t xml:space="preserve">” netiek iekļauta MK noteikumos, ņemot vērā, ka rādītāju nav iespējams ieviest ar atpakaļejošu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un MK noteikumos iekļautā informācija ir balstīta uz Finanšu ministrijā iesniegtajiem Atveseļošanas fonda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izstrādāts balstoties uz 2023. gada 26. septembra Ministru kabineta apstiprināto rīkojumu "Par Latvijas Atveseļošanas un noturības mehānisma plāna papildinājumu" (23-TA-1103), kur grozījumu ietvaros veikti precizējumi 12. rādītājā. Nozares ministrija uzņemas riskus par MK noteikumos iekļautajiem grozījumiem, kuri vēl nav apstiprināti grozījumu ietvaros. Gadījumā, ja Eiropas Komisija noraidīs kādu no iesniegtajiem grozījumiem, nozares ministrija nepieciešamības gadījumā veiks grozījumus MK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1.2.1.2.i. 2.pasākuma ietvaros 12. rādītāja  sasniedzamo vērtību “Apstiprināti projekti par vismaz” pieteikti grozījumi 12.rādītāja nosaukumam un kvantitatīvā rādītāja mērķim, veicot rādītāja palielinājumu no 72 351 600 </w:t>
      </w:r>
      <w:r w:rsidR="00000000" w:rsidRPr="00000000" w:rsidDel="00000000">
        <w:rPr>
          <w:i w:val="1"/>
          <w:rtl w:val="0"/>
        </w:rPr>
        <w:t xml:space="preserve">euro </w:t>
      </w:r>
      <w:r w:rsidR="00000000" w:rsidRPr="00000000" w:rsidDel="00000000">
        <w:rPr>
          <w:rtl w:val="0"/>
        </w:rPr>
        <w:t xml:space="preserve">uz 108 000 000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ko precizējot arī nosaukumu no “Apstiprināti projekti par vismaz 72 351 600 EUR” uz “Apstiprināti projekti par vismaz 108 000 000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rādītāji MK noteikumos iekļauti pamatojoties uz normatīvo dokumentu Atveseļošanas fonda plāna kopējie rādītāji, kas izstrādāti saskaņā ar Komisijas Deleģēto 2021. gada 28. septembra Regulu (ES) 2021/2106 ar kuru, nosakot atveseļošanas un noturības rezultātu pārskata kopējos rādītājus un detalizētos elementus, papildina Eiropas Parlamenta un Padomes Regulu (ES) 2021/241, ar ko izveido Atveseļošanas un noturības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ietvaros attiecībā uz Viedās specializācijas jomu ir noteikti šādi nacionālie rādītāji, kas sasniedzami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investīcijas ietvaros izstrādāti vismaz 160 jauni ar klimata mērķu sasniegšanu saistīti produkti, pakalpojumi vai tehnoloģijas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publiskais finansējums un privātās investīcijas, kas papildina komercdarbības atbalstu inovācijām vai pētniecības projektiem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pētniecības un attīstības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jaunradīto produktu un tehnoloģiju skaits komersantos pēc atbalsta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jaunradītie produkti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jaunradītās tehnoloģijas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   jaunradītie pakalpojumi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pētniecības projektu skaits, kas ietver sadarbību starp komersantiem un pētniecības un zināšanu izplatīšanas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izveidoto jauno darba vietu ar pētniecības projektu īstenošanu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jaunradīto darba vietu atalgojuma apmērs projekta ietvaros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papildus komersantu ieguldījumi (</w:t>
      </w:r>
      <w:r w:rsidR="00000000" w:rsidRPr="00000000" w:rsidDel="00000000">
        <w:rPr>
          <w:i w:val="1"/>
          <w:rtl w:val="0"/>
        </w:rPr>
        <w:t xml:space="preserve">euro</w:t>
      </w:r>
      <w:r w:rsidR="00000000" w:rsidRPr="00000000" w:rsidDel="00000000">
        <w:rPr>
          <w:rtl w:val="0"/>
        </w:rPr>
        <w:t xml:space="preserve">) pētniecībā un attīstībā ārpus pētniecības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piesaistītais ārvalstu finansējums (</w:t>
      </w:r>
      <w:r w:rsidR="00000000" w:rsidRPr="00000000" w:rsidDel="00000000">
        <w:rPr>
          <w:i w:val="1"/>
          <w:rtl w:val="0"/>
        </w:rPr>
        <w:t xml:space="preserve">euro</w:t>
      </w:r>
      <w:r w:rsidR="00000000" w:rsidRPr="00000000" w:rsidDel="00000000">
        <w:rPr>
          <w:rtl w:val="0"/>
        </w:rPr>
        <w:t xml:space="preserve">) (no starptautiskām pētniecības programmām vai no ārvalstu partneriem) pētniecībai uzņēmējdarbības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komersanta noslēgtie licences līgumi (skaits) par pētniecības projekta īstenošanas rezultātā radītā intelektuālā īpašuma komercializēšanu;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8.10. komersanta neto apgrozījums (</w:t>
      </w:r>
      <w:r w:rsidR="00000000" w:rsidRPr="00000000" w:rsidDel="00000000">
        <w:rPr>
          <w:i w:val="1"/>
          <w:rtl w:val="0"/>
        </w:rPr>
        <w:t xml:space="preserve">euro</w:t>
      </w:r>
      <w:r w:rsidR="00000000" w:rsidRPr="00000000" w:rsidDel="00000000">
        <w:rPr>
          <w:rtl w:val="0"/>
        </w:rPr>
        <w:t xml:space="preserve">) no pētniecības projekta rezultāta ieviešanas saimnieciskajā darbībā vai komercializēšanas;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pētniecības projektos iesaistīto doktorantu un doktoru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zinātniskais personāls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8.11.1.1.   zinātniskais personāls – jaunie zinātnieki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8.11.1.2.   zinātniskais personāls – maģistranti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8.11.1.3.   zinātniskais personāls – doktoranti un doktora grāda pretendenti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zinātniskais personāls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8.11.2.1.   zinātniskais personāls – jaunie zinātnieki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8.11.2.2.   zinātniskais personāls – maģistranti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8.11.2.3.   zinātniskais personāls – doktoranti un doktora grāda pretendenti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zinātnes tehniskais personāls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8.11.3.1.   zinātnes tehniskais personāls – jaunie zinātnieki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8.11.3.2.   zinātnes tehniskais personāls – maģistranti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8.11.3.3.   zinātnes tehniskais personāls – doktoranti un doktora grāda pretendenti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8.11.4. iesaistītais zinātnes tehniskais personāls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8.11.4.1.   zinātnes tehniskais personāls – jaunie zinātnieki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8.11.4.2.   zinātnes tehniskais personāls – maģistranti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8.11.4.3.   zinātnes tehniskais personāls – doktoranti un doktora grāda pretendenti (pilna laika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zinātnisko publikāciju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projekta ietvaros jaunradīto produktu, pakalpojumu vai tehnoloģiju neto apgrozījums (</w:t>
      </w:r>
      <w:r w:rsidR="00000000" w:rsidRPr="00000000" w:rsidDel="00000000">
        <w:rPr>
          <w:i w:val="1"/>
          <w:rtl w:val="0"/>
        </w:rPr>
        <w:t xml:space="preserve">euro</w:t>
      </w:r>
      <w:r w:rsidR="00000000" w:rsidRPr="00000000" w:rsidDel="00000000">
        <w:rPr>
          <w:rtl w:val="0"/>
        </w:rPr>
        <w:t xml:space="preserve">) salīdzinājumā ar pirmo projekta īstenošanas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projekta ietvaros jaunradīto produktu, pakalpojumu vai tehnoloģiju eksports (</w:t>
      </w:r>
      <w:r w:rsidR="00000000" w:rsidRPr="00000000" w:rsidDel="00000000">
        <w:rPr>
          <w:i w:val="1"/>
          <w:rtl w:val="0"/>
        </w:rPr>
        <w:t xml:space="preserve">euro</w:t>
      </w:r>
      <w:r w:rsidR="00000000" w:rsidRPr="00000000" w:rsidDel="00000000">
        <w:rPr>
          <w:rtl w:val="0"/>
        </w:rPr>
        <w:t xml:space="preserve">) salīdzinājumā ar pirmo projekta īstenošanas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ārējie izdevumi pētniecības darbiem, kas pasūtīti citās iestādēs, uzņēmumos, organizācijās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kapitālizdevumi – ēkas, iekārtas, intelektuālā īpašuma tiesības, datoru programmatūra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radītie rūpnieciskā īpašuma objekti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8.17.1. radītie rūpnieciskā īpašuma objekti – patents un patentu pieteikumi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 īpašuma objekti – augu šķirne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8.17.2. rūpnieciskā īpašuma objekti – reģistrēts dizainparaugs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8.17.3. radītie rūpnieciskā īpašuma objekti – pusvadītāja izstrādājums vai tā pieteikums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8.17.4. radītie rūpnieciskā īpašuma objekti – preču zīme (ieskaitot kolektīvās zīmes) un sertifikācijas zīme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komersanta siltumnīcefekta gāzu emisiju ietaupījums salīdzinājumā ar pirmo projekta īstenošanas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papildu darbības jauda, kas uzstādīta atjaunojamo energoresursu enerģijas vajadzībām salīdzinājumā ar pirmo projekta īstenošanas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8.20.   gada primārās enerģijas patēriņa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komersanti, kuri jaunu produktu, pakalpojumu un tehnoloģiju izstrādē ievērojuši nulles piesārņojumu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izpratnē Atveseļošanas fonda plāna (342) rindkopā noteiktie mērķi uzskatāmi kā nacionālie rādītāji, neveicot atsevišķu izdali pa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veic MK noteikumu 8.punktā nacionālo rādītāju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8.2. un 8.3. apakšpunktos nacionālie rādītāji tiek uzskaitīti pētniecības projektu ietvaros šādām Latvijas Nacionālā enerģētikas un klimata plāna 2021.-2030. gadam priotritātēm: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atjaunīgā enerģija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viedās enerģijas sistēmas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energoefektīvas sistēmas (dzīvojamās ēkas un industrija)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ilgtspējīgs transports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oglekļa uztveršana un noglabāšana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droša kodolenerģija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energopārvaldība un tirgus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(turpmāk - investīcija) ir noteikts intervences lauks “022 - Pētniecības un inovācijas procesi, tehnoloģiju nodošana un sadarbība starp uzņēmumiem, kas pievēršas zemu oglekļa emisiju ekonomikai, noturībai pret klimata pārmaiņām un pielāgošanos tām”. Kods pēc būtības nosaka, ka projekts galvenokārt vērsts uz pētniecības un inovācijas pasākumu kopumu, lai izstrādātu jaunu produktu, tehnoloģiju un pakalpojumu. Pētniecības projekta ietvaros intervences kods nav jānorāda. Investīcija atbilst 100% klimata marķierim, jo tiks atbalstīti pētniecības un inovāciju projekti, kas ar jaunu produktu, tehnoloģiju un pakalpojumu izstrādi veicinās  zemu oglekļa emisiju ekonomiku, noturību pret klimata pārmaiņām un pielāgošanos tām. Lai veicinātu Atveseļošanas fonda plānā 1.komponentes un reformu un investīciju virziena 1.2. ietvaros energoefektivitātes uzlabošanu uzņēmējdarbībā, investīcijas ietvaros plānotie ieguldījumi vērsti uz pienesumu ES zaļā kursa mērķu sasniegšanā, veicinot ieguldījumu Latvijas Nacionālā enerģētikas un klimata plāna 2021.-2030. gadam īstenošanā. Vienlaikus atbalsta programma vērsta uz tādu pētniecības projektu atbalstīšanu, kas atbilst Tehnoloģiju gatavības līmeņiem (TRL) TRL 4.-8, līdz ar ko nav iespējams noteikt konkrētus mērāmus mērķa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Potenciālie P&amp;A virzieni jaunu produktu, pakalpojumu un tehnoloģiju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Energoefektivitāte (energoefektivitāte ēkās, energoefektivitāte industrijā, energosistēmu integrācija un vadības efektivizācija, viedie tīkli (bezvadu uzlāde) un citi pētniecības virzieni eneroefektivitātes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Viedā enerģētika, inženiersistēmas un transporta risinājumi (enerģijas ražošana (siltumenerģija un elektroenerģija), alternatīvās degvielas, t.sk. elektromobilitāte, un citi pētniecības virzieni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II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pētniecības projektiem tiek piešķirts jaunu, inovatīvu produktu izstrādei un attīstībai, atbalstot tos projektus, kas atbilst TRL 4.-8.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12. februāra Regula (ES) 2021/241, ar ko izveido Atveseļošanas un noturības mehānismu  (turpmāk – Komisijas regulas Nr. 2021/241) Atveseļošanas fonda plānā iekļautajiem pasākumiem nevajadzētu nodarīt būtisku kaitējumu sešiem vides mērķiem Eiropas Parlamenta un Padomes 2020. gada 18. jūnija Regulas (ES) Nr. 2020/852 par regulējuma izveidi ilgtspējīgu ieguldījumu veicināšanai un ar ko groza Regulu (ES) 2019/2088  17. panta nozīmē, proti, projekta iesniedzējs nodrošina, ka projekts  atbilst  principam “nenodarīt būtisku kaitējumu”. MK noteikumos norādītās prasības noteiktas saskaņā ar Atveseļošanas fonda 1. pielikuma principa “nenodarīt būtisku kaitējumu” novērtējumu un tā ievērošanu saskaņā ar Eiropas Komisijas 2021.gada 18.februāra paziņojumu Nr. 2021/C58/01 “Tehniskie norādījumi par principa “nenodarīt būtisku kaitējumu” piemērošanu saskaņā ar Regulā Nr. 2021/241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investīcijas atbilstību Tehniskajiem norādījumiem par principa “nenodarīt būtisku kaitējumu” ievērošanu (2021/C58/01), atbalstu nepiešķir, ja projekta pieteikumā paredzētas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saistītas ar siltumnīcefekta gāzu emisiju radīšanu,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saistītas ar atkritumu poligoniem, izņemot gadījumus, ja gala labuma guvējs ir saņēmis atļauju šo darbību veikšanai, sadedzināšanas iekārtām un mehāniski bioloģiskās apstrādes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saistītas ar atkritumu savākšanas, uzglabāšanas, apstrādes, pārstrādes un apglabāšanas iekārtu un to programmatūru iegādi un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kaitē ūdensobjektu labam stāvoklim vai to labam ekoloģiskajam potenciālam, ieskaitot virszemes ūdeņus un gruntsūdeņus, vai jūras ūdeņu labam vides stāvoklim,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kaitē aprites ekonomikai, tostarp atkritumu rašanās novēršanai un reciklēšanai, vienā vai vairākos produktu aprites cikla posmos radot būtiskus efektivitātes trūkumus materiālu izmantošanā vai tādu dabas resursu tiešā vai netiešā izmantošanā kā neatjaunojami energoresursi, izejvielas, ūdens un zeme, tostarp produktu ilgizturības, remontējamības, modernizējamības, atkārtotas lietojamības vai reciklējamības ziņā,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kaitē vides piesārņojuma novēršanai un kontrolei,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kaitē bioloģiskās daudzveidības un ekosistēmu aizsardzībai un atjaunošanai, ja minētā darbība kaitē ekosistēmu labam stāvoklim un izturētspējai, vai kaitē dzīvotņu un sugu, tostarp Eiropas Savienības nozīmes dzīvotņu un sugu, aizsardzības statusam,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noteikto darbību nodrošināšanai finansējuma saņēmējs vai pētniecības projektu vērtēšanas komisija pārbauda sadarbības partnera aktivitāšu darbības veidu uz pētniecības projekta izvērtēšanu, atbilstoši novērtējot aktivitātes, kurās iekļautās darbības atbilst attiecīgajiem Eiropas Savienības un nacionālajiem normatīvajiem aktiem vides jomā. Minētā prasība ir tieši saistīta ar Padomes īstenošanas lēmumu par Latvijas Atveseļošanas un noturības plāna novērtējuma apstiprināšanu, kurā iekļautas prasības par principa “nenodarīt būtisku kaitējumu” ievērošanu investīcijas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principa “nenodarīt būtisku kaitējumu” izvērtēšanu, kur finansējuma saņēmējs vai pētniecības projektu vērtēšanas komisija veic sadarbības partnera izvērtējumu, vērtēšanu veicot saskaņā Komisijas Regulu Nr. 2021/241, noteikto izvērtējumu veicot par investīcijas ietvaros iekļautajiem vides mērķiem. Saskaņā ar Atveseļošanas un noturības mehānisma plāna 1. pielikumu “Principa Nenodarīt būtisku kaitējumu novērtējums” MK noteikumu ietvaros nav atļautas investīciju projekta darbības, kas var radīt būtisku kaitējumu videi. Atļaujas, kas saistītas ar principa “nenodarīt būtisku kaitējumu” ietvaros noteiktajiem vides mērķiem, izsniedz atbildīgā valsts iestāde, kas nodrošina uzraudzību par vides prasību ievērošanu, piemēram, Valsts vides dienests, kompetences ietvaros veicot komersanta atbilstības izvērtēšanu atļaujas saimnieciskās darbības veikšanai saņemšanai. Tādējādi, finansējuma saņēmējs vai pētniecības projektu vērtēšanas komisija pirms līguma grozījumu iesniegšanas Aģentūrā, izvērtēšanas ietvaros attiecībā uz principa “nenodarīt būtisku kaitējumu” ievērošanu pārliecinās, vai darbība ir saistīta ar kādu no vides mērķiem un, ja darbība ir saistīta ar kādu no tiem, veicot pārbaudi Valsts vides dienesta publiskajā datu bāzē par spēkā esošas atļaujas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III Attiecināmās izmaksas un izmaksas, kas netiek segtas no Atveseļošanas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lēmumu par atbalsta piešķiršanu pieņem saskaņā ar Komisijas Regulu Nr. 651/2014 vai Komisijas Regulu Nr. 1407/2013, vienlaikus lēmumi netiek pieņemti pēc minēto regulu spēka zaudēšanas.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izmaksas sedz, atbilstoši </w:t>
      </w:r>
      <w:r w:rsidR="00000000" w:rsidRPr="00000000" w:rsidDel="00000000">
        <w:rPr>
          <w:i w:val="1"/>
          <w:rtl w:val="0"/>
        </w:rPr>
        <w:t xml:space="preserve">de minimis</w:t>
      </w:r>
      <w:r w:rsidR="00000000" w:rsidRPr="00000000" w:rsidDel="00000000">
        <w:rPr>
          <w:rtl w:val="0"/>
        </w:rPr>
        <w:t xml:space="preserve"> nosacījumiem, saskaņā ar Komisijas Regulas Nr. 1407/2013 nosacījumiem. Finansējuma saņēmējam ir attiecināmas šādas izmaksas, atbilstoši MK noteikumu 49.2.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ārpakalpojumu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komunikācijas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51. punktā minētais izmaksu ierobežojums attiecināms uz tādām izmaksām, kā projektu vadības, ārpakalpojumu, komunikācijas un citām izmaksām, kas uzskaitītas MK noteikumu 49.2.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partnera izmaksas tiek segtas atbilstoši Komisijas Regulas Nr. 651/2014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projekta ietvaros ir attiecināmas šādas izmaksas, kas radušās pēc pētniecības projekta iesnieguma iesniegšanas Vadības informācijas sistēmā, atbilstoši MK noteikumu 49.1.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samaksa un ar to saistītās valsts sociālā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komandējuma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komunālie pakalpojumi un sakaru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telpu, instrumentu, iekārtu, aprīkojuma noma un amortizācija;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plānotie materiāli, ciktāl tiek izmantoti pētniecības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līgumpētījumiem un patentiem, ciktāl attiecas uz konkrētā pētniecības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iegāde un abonēšana.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izmaksas, kas netiek segtas no Atveseļošanas fonda līdzekļiem, tiek norādītas privātā līdzfinansējuma daļā un Aģentūra tās nepārbauda. Skaidrojam, ka minētās izmaksas attiecināmas uz sadarbības partnera noslēgtajiem saimnieciskās darbības līgumiem pirms pētniecības projekta sākuma, ko iespējam attiecināt no privātā līdzfinansējuma daļas. Ņemot vērā, ka Aģentūras pienākums ir pārliecināties par publiskā finansējuma izlietojumu, tad privātā finansējuma daļas pārbaude nav Aģentūras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partnera īpašumā esošo  instrumentu, iekārtu un to aprīkojuma izmaksas, finanšu nomā iegādāto iekārtu amortizācijas izmaksas, ciktāl tos izmanto pētniecības projektā, atbilstoši Komisijas Regulas Nr. 651/2014 25.panta 3.punkta “b” apakšpunktā noteiktajam, patentu un licenču amortizācijas izmaksas, ciktāl tos izmanto pētniecības projektā, atbilstoši Komisijas Regulas Nr. 651/2014 25.panta 3.punkta “d” apakšpunktā noteiktajam, sadarbības partnera īpašumā esošo ēku amortizācijas izmaksas un zemes komerciālās nodošanas izmaksas vai faktiski veikto kapitālieguldījumu izmaksas, atbilstoši Komisijas Regulas Nr. 651/2014 25.panta 3.punkta “c” apakšpunktā noteiktajam.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Patentu un licenču amortizācijas izmaksas var būt attiecināmas tikai tad, ja tās iegādātas pēc pētniecības projekta iesnieguma iesniegšanas Vadības informācijas sistēmā.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pētniecības projekta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Pamatlīdzekļiem, kas iegādāti no 2018.gada 1.janvāra, nolietojums jārēķina atbilstoši likuma “Par iedzīvotāju ienākuma nodokli” 11.</w:t>
      </w:r>
      <w:r w:rsidR="00000000" w:rsidRPr="00000000" w:rsidDel="00000000">
        <w:rPr>
          <w:vertAlign w:val="superscript"/>
          <w:rtl w:val="0"/>
        </w:rPr>
        <w:t xml:space="preserve">5</w:t>
      </w:r>
      <w:r w:rsidR="00000000" w:rsidRPr="00000000" w:rsidDel="00000000">
        <w:rPr>
          <w:rtl w:val="0"/>
        </w:rPr>
        <w:t xml:space="preserve">. panta prasībām. Pamatlīdzekļiem, kas iegādāti līdz 2018.gada 1.janvārim ir jāpiemēro iepriekšējais regulējums attiecībā uz normatīvajos aktos par uzņēmumu ienākuma nodokļa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ietvaros nav iespējams attiecināt pievienotās vērtības nodokli. Finansējuma saņēmējs un sadarbības partneris pievienotās vērtības nodokli sedz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finansējuma saņēmējs un sadarbības partneris preču piegādātāja vai pakalpojuma sniedzēja izvēlei piemēro Ministru kabineta 2017.gada 28.februāra noteikumu Nr.104 "Noteikumi par iepirkuma procedūru un tās piemērošanas kārtību pasūtītāja finansētiem projektiem" noteikto kārtību vai publiskā iepirkuma regulējuma nosacījumus. Iepirkumu ietvaros finansējumā saņēmējs un sadarbības partneris pārliecinās, ka līdzfinansēto preču un pakalpojumu izmaksas atbilst tirgus cenai un nepastāv interešu konflikts piegādātāja vai pakalpojumu sniedzēja izvēlē.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komandējuma izmaksas attiecināmas saskaņā ar Ministru kabineta 2010. gada 12. oktobra noteikumiem Nr.969 “Kārtību,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IV Projektu iesniegumu vērtēšanas kritēriji un projektu iesniegumu atlases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notiek divu līmeņa atklātas procedūras atlases – finansējuma saņēmēja un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atlasi veic Aģentūra atklātā uzsaukumā. Projekta iesniegumus Aģentūra vērtē atbilstoši MK noteikumu 3.pielikuma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izslēgšanas kritēriji (nav sods vai tiesas spriedums, kas kļuvis nepārsūdzams, nav pasludināts maksātnespējas process, nav neizpildīts līdzekļu atgūšanas rīkojums, neatbilst Starptautisko un Latvijas Republikas nacionālo sankciju likuma 11.</w:t>
      </w:r>
      <w:r w:rsidR="00000000" w:rsidRPr="00000000" w:rsidDel="00000000">
        <w:rPr>
          <w:vertAlign w:val="superscript"/>
          <w:rtl w:val="0"/>
        </w:rPr>
        <w:t xml:space="preserve">2</w:t>
      </w:r>
      <w:r w:rsidR="00000000" w:rsidRPr="00000000" w:rsidDel="00000000">
        <w:rPr>
          <w:rtl w:val="0"/>
        </w:rPr>
        <w:t xml:space="preserve"> panta pirmajā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atbilstības kritēriji (vispārīgie atbilstības kritēriji (nodokļu parāda pārbaude, projekta iesniegumā norādīta informācija par finanšu kapacitāti, aprakstīt mērķis, noteikts finanšu aprēķins, aprakstītas plānotās darbības), specifiskie atbilstības kritēriji (atbilstība RIS3, pamatoti sagaidāmie rezultāti, projekta īstenošanas termiņš, ņemti vērā MK noteikumos projekta iesniedzējam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kvalitātes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projekta iesniedzēja vai asociācijas, no kuras saņemta atbalsta vēstule, eksports apjoms ir vismaz 75 milj. </w:t>
      </w:r>
      <w:r w:rsidR="00000000" w:rsidRPr="00000000" w:rsidDel="00000000">
        <w:rPr>
          <w:i w:val="1"/>
          <w:rtl w:val="0"/>
        </w:rPr>
        <w:t xml:space="preserve">euro</w:t>
      </w:r>
      <w:r w:rsidR="00000000" w:rsidRPr="00000000" w:rsidDel="00000000">
        <w:rPr>
          <w:rtl w:val="0"/>
        </w:rPr>
        <w:t xml:space="preserve">. Maksimālo punktu skaitu piešķir, ja projekta iesniedzēja vai asociācijas, no kuras saņemta atbalsta vēstule, eksporta apjoms ir vismaz 600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projekta iesniedzēja vai asociācijas, no kuras saņemta atbalsta vēstule, apgrozījums ir vismaz 150 milj. euro. Maksimālo punktu skaitu piešķir, ja projekta iesniedzēja vai asociācijas, no kuras saņemta atbalsta vēstule, apgrozījums ir vismaz 1 miljards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projekta vadītāja pieredze inovāciju projektu vadībā pēdējo 10 gadu laikā. Maksimālo punktu skaitu piešķir, ja projekta vadītāja pieredze projektu vadībā ir ar realizētu projektu kopējo summu vismaz 7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projekta iesniedzēja pieredze Latvijas vai starptautisku (īstenots iesaistot ārvalstu partneri) inovāciju projektos pēdējo 10 gadu laikā. Maksimālo punktu skaitu piešķir, ja projekta iesniedzējs ir īstenojis projektu kādā no Eiropas Savienības inovāciju atbalsta programmā vai citās Latvijas vai starptautiskās inovāciju atbalsta programmās ar  projektu kopējo finansējumu lielāku kā 7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projektā noteikto darbību atbilstība horizontālām prioritātēm maksimālo punktu skaitu 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 ja projekta darbību rezultātā tiks izstrādātas tehnoloģijas, kas nodrošina dabas resursu efektīvu un lietderīgu izmantošanu tīrāka ražošanas procesa ieviešanā, samazinot izejvielu un enerģijas patēriņu, emisiju un atkritumu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3.5.2. ja īstenojot projektu, iepirkumā izmanto zaļā iepirkuma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ja attiecināms, projekta iesniegumam papildus pievieno nozares asociācijas atbalsta vēstuli par projekta nozīmību nozares attīstībā, kurā tai skaitā iekļauj informāciju par asociācijas biedru apgrozījuma un eksporta apjomu pēdējā noslēgtajā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vērtētu projekta atbilstību vides un klimata mērķiem, Aģentūra projektu iesniegumu vērtēšanas komisijā iesaista Klimata un enerģētikas ministrijas pārstāvi, kā arī var iesaistīt Vides aizsardzības un reģionālās attīstības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vērtējot projekta iesniedzēja apgrozījuma un eksporta apjomu, ņem vērā projekta iesniedzēja dalībnieku apgrozījuma un eksporta rādītājus. Projekta iesniedzēja dalībnieks ir kapitāldaļu turētājs, ja projekta iesniedzējs ir komersants, savukārt, projekta iesniedzēja dalībnieks ir biedrs, ja projekta iesniedzējs ir 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tiek veikta atklāta projektu iesniegumu atlase par visu pieejamo finansējumu. Ja izveidojas pieejamā Atveseļošanas fonda finansējuma atlikums, kas nav pietiekams secīgi nākamā projekta atbalstīšanai, tad atlikušo finansējumu piešķir, lai atbalstītu nākamo projekta iesniegumu ar augstāko vērtējumu saskaņā ar MK noteikumu 20.4. apakšpunktā minēto. Gadījumā, ja projekta iesniegumu nevar atbalstīt pieprasītā finansējuma apmērā, tad Aģentūra piedāvā projektu īstenot ar samazinātu Atveseļošanas fonda finansējumu. Gadījumā, ja projekta iesniedzējs atsakās īstenot projektu ar samazinātu Atveseļošanas fonda finansējumu, tad atlikušo finansējumu piešķir, lai atbalstītu nākamo projekta iesniegumu ar augstāko vērtējumu saskaņā ar kvalitātes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iesnieguma iesniegšanas Kohēzijas politikas fondu vadības informācijas sistēmā (turpmāk - Vadības informācijas sistēmā) finansējuma saņēmējs veiks pētniecības projektu atlasi. Pētniecības projektu atlasei tiek veidota no interešu konflikta, korupcijas un krāpšanas brīva pētniecības projektu vērtēšanas komisija, kas veic pētniecības projektu zinātnisko aspektu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pētniecības projektu vērtēšanas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iekļauj šādus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vismaz vienu nozares komersantu vai atzītu lauksaimniecības pakalpojumu kooperatīvo sabiedrību pārstāvi, kurš ieguvis augstāko izglītību attiecīgajā nozarē vai augstāko izglītību un vismaz piecu gadu darba pieredzi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nozares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Klimata un enerģētikas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iekļaut šādus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un zināšanu izplatīšanas organizāciju pārstāvjus, kuri ieguvuši maģistra vai zinātņu doktora grādu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Vides aizsardzības un reģionālās attīstības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citu nozaru kompetences centru, sadarbības tīklu, asociāciju vai citu organizāciju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zinātniskā virziena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interešu konflikta risku finansējuma saņēmējs pētniecības un zināšanu izplatīšanas organizāciju pārstāvjus un citu nozaru kompetences centru, sadarbības tīklu, asociāciju vai citu organizāciju pārstāvjus pētniecības projektu vērtēšanas komisijā iekļauj gadījumos, kad gūta pārliecība par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vērtētu pētniecības projekta atbilstību vides un klimata mērķiem, finansējuma saņēmējs pētniecības projektu vērtēšanas komisijā iesaista Klimata un enerģētikas ministrijas pārstāvi, kā arī var iesaistīt Vides aizsardzības un reģionālās attīstības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vērtēšanas komisijā balsstiesības ir nozares komersantam vai atzītu lauksaimniecības pakalpojumu kooperatīvo sabiedrību pārstāvjiem, nozares ministrijas pārstāvim, pētniecības un zināšanu izplatīšanas organizācijas pārstāvim, Vides aizsardzības un reģionālās attīstības ministrijas pārstāvim un Klimata un enerģētikas ministrijas pārstāvim. Pārējo pētniecības projektu vērtēšanas komisijas locekļu ierosinājumiem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priekšlikumi principiem, kurus jāievēro finansējuma saņēmējam, kad izveido pētniecības projektu vērtēšanas komisiju, tādējādi finansējuma saņēmēja nodrošinot interešu konflikta risku prevenciju: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ka piesaistītie nozares eksperti pētniecības projektu vērtēšanas komisijā nesniedz viedokli par pētījumiem, kur viņiem var būt interešu konflikta risks (savu, sava tuvinieka, sevis pārstāvētas organizācijas utml. pētījumu). Tiek nodrošināta nozares ekspertu rotācija vai tiek piesaistīts eksperts, kuram nav konstatējams interešu konflikta risks ar nevienu no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ka pētniecības projektu vērtēšanas komisijas dalībnieks sniedz individuālu (neatkarīgu) vērtējumu par katru pētniecības projektu. Pētījumu izvērtēšanai netiek veidotas ekspertu grupas, ekspertu savstarpējas konsultācijas, ekspertu savstarpējas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ka nozares eksperts kā pētniecības projektu vērtēšanas komisijas dalībnieks sniedz zinātnisko vērtējumu pētījumiem, bet nesniedz rekomendācijas vai ieteikumus pētījuma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ka nozares eksperts atbilstoši MK noteikumos noteiktajam tiek piesaistīts caurspīdīgā procedūrā – atklātā uzsaukumā vai tirgus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eksperts paraksta MK noteikumu 4. pielikumā esošo Objektivitātes, konfidencialitātes un interešu konflikta neesības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vērtēšanas komisija dalībnieki, vērtējot pētniecības projekta iesniegumu zinātnisko kvalitāti, pārliecināsies par pētniecības projektā plānoto darbību atbilstību rūpnieciskiem pētījumiem, eksperimentālām izstrādēm, tehniski ekonomiskai priekšizpētei. Aģentūra, ņemot vērā pētniecības projektu vērtēšanas komisijas priekšizvērtējumu, atbilstoši piemēros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apkopo pētniecības projektu vērtēšanas komisijas vērtētos pētniecības projektu iesniegumus un ar līguma grozījumu pieprasījumu iesniedz Aģentūrai lēmuma pieņemšanai Finansējuma saņēmējs izveido pētniecības projektu sarakstu, balstoties uz pētniecības projektu vērtēšanas komisijas individuālajām vērtējumiem. Apkopoto pētniecības projektu sarakstu finansējuma saņēmējs iesniedz Vadības informācijas sistēmā Aģentūrai lēmuma pieņemšanai. Aģentūra ar līguma par projekta īstenošanu grozījumiem informē finansējuma saņēmēju par projektā iesaistītajiem sadarbības partneriem. Secīgi finansējuma saņēmējs slēdz līgumu ar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izstrādā pētniecības projektu vērtēšanas kritēriju piemērošanas metodiku ne vēlāk kā viena mēneša laikā pēc MK noteikumu apstiprināšanas, ko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un nozares ministrijas izstrādāto pētniecības projektu vērtēšanas kritēriju piemērošanas metodiku, finansējuma saņēmējam nepieciešams izstrādāt pētniecības projektu vērtēšanas kritērijus, atspoguļojot katra piešķirtā punktu vērtību un pamatojumu. Kritērijus iesniedz kopā ar projekta iesniegumu, ko vērtē Aģentūra. Savukārt finansējuma saņēmējs savā mājaslapā publicē pētniecības projektu vērtēšanas kritērijus un metodiku pirms pētniecības projekta iesnieguma atlases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finansējuma ietvaros finansējuma saņēmējam vai sadarbības partnerim nosakot komercdarbības atbalsta nosacījumus 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iesniedzējam pēc pēdējiem Valsts ieņēmumu dienesta publicētiem pārskatiem, kas nepārsniedz vienu kalendāro mēnesi nav Valsts ieņēmumu dienesta (turpmāk - VID) administrēto nodokļu parāda, tajā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1.3 un 1.7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 par nodokļu parādu pārbauda informāciju par VID administrēto nodokļu parādu statusu VID (nodevu) parādnieku datubāzē. Katram projekta iesniedzējam un sadarbības partnerim nodokļu pārbaudes tiek veiktas atsevišķi, balstoties uz VID publiskojamo datu bāzes sadaļā “Nodokļu parādnieki” pieejamo aktuālo informāciju projekta iesnieguma un ja attiecināms, precizētā projekta iesnieguma iesniegšanas dienā Aģentūrā, ņemot vērā, ka informācija par veikto nodokļu nomaksu VID parādnieku datubāzē tiek aktualizēta un publicēta ar divu darba dienu nobīdi. Ja nodokļu maksātājam pēdējā aktualizācijas datumā ir nodokļu parāds uz brīdi, kad Aģentūra pieņem lēmumu par finansējuma saņēmēja atbilstību komercdarbības atbalsta nosacījumiem, tad Aģentūra lūdz iesniegt finansējuma saņēmēju VID lēmumu par nodokļu maksājumu termiņš saskaņā ar likuma "Par nodokļiem un nodevām" 24. panta pirmo, 1.3 un 1.7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atbilstību sīkā (mikro), mazā, vidējā vai lielā uzņēmuma statusam Aģentūra vērtē uz  brīdi, kad Aģentūra pieņem lēmumu par finansējuma saņēmēja un sadarbības partnera atbilstību komercdarbības atbalsta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atbilstību komercdarbības atbalsta nosacījumiem Aģentūra vērtē uz  brīdi, kad Aģentūra pieņem lēmumu par finansējuma saņēmēja atbilstību komercdarbības atbalsta normām. Sadarbības partnera atbilstību komercdarbības atbalsta nosacījumiem Aģentūra vērtē uz  brīdi, kad Aģentūra pieņem lēmumu par sadarbības partnera atbilstību komercdarbības atbalsta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Stimulējošās ietekmes prasības tiks ievērotas atbilstoši turpmāk – Komisijas Regulas Nr. 651/2014 6.panta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sadarbības partneriem tiek vērtēts grūtībās nonākušu uzņēmumu statuss, ko Aģentūra vērtē uz komercdarbības atbalsta piešķiršana brīdi. Izvērtējums tiek veikts uz projekta iesnieguma iesniegšanas dienu un lēmuma par projekta iesnieguma apstiprināšanas dienu vai atzinuma par nosacījumu izpildi pieņemšanas dienu pamatā, ja ir bijis pieņemts lēmums par projekta iesnieguma apstiprināšanu ar nosacījumu. Papildus sadarbības partnerim ir jāiesniedz apliecinājums par Komisijas Regulas Nr. 651/2014 2. panta 18. punkta “c” apakšpunktā ietvertā nosacījuma ievērošanu - uzņēmums neatbilst normatīvajos aktos noteiktiem kritērijiem, lai tam pēc kreditora pieprasījuma piemērotu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nozares ministrijas pārstāvis pētniecības projektu vērtēšanas komisijas vērtēšanas procesa ietvaros konstatē, ka nav pietiekami pamatots pētniecības projekta iesniegums, starpposma vai gala atskaites izvērtēšanas process, tad nozares ministrijas pārstāvis neparaksta protokolu un atbalstīto pētniecības projektu saraksts netiek virzīts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pārstāvis, darbojoties pētniecības projektu vērtēšanas komisijā, pārliecinās,  vai nav konstatējamas pazīmes, kas liecina par pieļautu dubultā finansējuma situāciju pret Eiropas Savienības kohēzijas politikas programmu 2021.–2027. gadam, Atveseļošanas fonda un Eiropas Savienības struktūrfondu un Kohēzijas fonda 2014.–2020. gada plānošanas perioda darbības programmu "Izaugsme un nodarbinātība", tai skaitā demarkācija arī starp citiem publiskā finansējuma avotiem, kā arī nav konstatējamas korupcijas, krāpšanas riska un interešu konflikta pazīmes, ja nepieciešams, veicot darbības to novēršanai un labošanai. Finansējuma saņēmējs dubultā finansējuma pārbaudei izmanto publiski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papildus Ministru kabineta 2021. gada 7. septembra noteikumu Nr. 621 "Eiropas Savienības Atveseļošanas un noturības mehānisma plāna īstenošanas un uzraudzības kārtība" 8. punktā minētajam, nozares ministrijas funkcijas un pienākumi aprakstīti MK noteikumu 73.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pārstāvim ir tiesības pieprasīt informāciju saistībā ar finansējuma saņēmēja projekta ietvaros veiktajiem pētniecības projektiem, kas var būt noderīgi ekonomiskās politikas veidošanai un papildinošu atbalsta instrumentu izveidošanai. Nozares ministrijas pārstāvis var lūgt iesniegt informāciju par pētniecības projekta rezultāta komercializēšanas rezultātiem, uzņēmuma attīstības virzieniem, finansējuma saņēmēja ietekmi uz viedās specializācijas stratēģijām un citu informāciju. Iegūtā informācija palīdzēs veikt nepieciešamās izmaiņas atbalsta pasākumos, kas vērsti uz tautsaimniecības transformāciju. Finansējuma saņēmējam ir tiesības, to atbilstoši pamatojot, neizsniegt datus, kuru iegūšana nav pamatojama ar ekonomiskās politikas īstenošanas vai uzraudzības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nozares ministrijas pārstāvja klātbūtnes kā pētniecības projektu vērtēšanas komisijas sēdes dalībnieka, lēmumi pētniecības projektu vērtēšanas komisijā par atbalstīto pētniecības projektu sarakstu nevar tikt virzīti, jo netiek parakstīts pētniecības projektu vērtēšanas komisijas protokols.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74.punktā minētajiem nosacījumiem, Aģentūrai ir pienākums ieviest principu – konsultē vispirms, nodrošinot tādu procesu, kurā starp Aģentūru un finansējuma saņēmēju un sadarbības partneri pastāv un tiek attīstīts drošs, uzticams un labticīgs konsultāciju un informācijas apmaiņas process, kura mērķis ir sekmēt labāku inovāciju projektu īstenošanas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Aģentūras pieņemto lēmumu par iesniegtā sadarbības partnera pētniecības projekta atbilstību komercdarbības atbalsta nosacījumiem var apstrīdēt Aģentūra. Par Aģentūras pieņemto lēmumu finansējuma saņēmējs var celt prasību pret Aģentūru vispārējās jurisdikcijas tiesā. Strīdi, kas rodas projekta īstenošanas laikā pēc līguma noslēgšanas, tiek risināti civiltiesiskā kārtībā un vispirms finansējuma saņēmējs iesniedz pretenziju Aģentūrā un, ja domstarpības neizdodas atrisināt sarunu ceļā, tad finansējuma saņēmējs var celt prasību pret Aģentūru vispārējās jurisdikcijas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lēmumu par finansējuma saņēmēja atbilstību komercdarbības atbalsta nosacījumiem var apstrīdēt Finanšu ministrijā viena mēneša laikā no lēmuma spēkā stāšanās dienas. Finanšu ministrijas izdoto lēmumu var pārsūdzēt Administratīvā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pētniecības projektu atlases un līguma grozījumu noslēgšanas ar Aģentūru, notiek pētniecības projekta īstenošana un uzraudzība. Finansējuma saņēmējs iesniedz progresa pārskatus (maksājuma pieprasījumus) un atskaitās par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 Investīcijā iesaistīto pušu noteiktās prasības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 var būt sabiedrība ar ierobežotu atbildību vai biedrība, kas atbilst MK noteikumu 29. un 31. punktos noteiktajām prasībām. Projekta iesniedzēji sagatavo un iesniedz projektu iesniegumus Atveseļošanas fonda finansējuma saņemšanai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Piesakoties Atveseļošanas fonda finansējumam, projekta iesniedzējs iesniedz projekta darbības plānu par periodu ne vēlāk kā līdz 2027. gada 31. decembrim, pamatojoties uz viedās specializācijas ilgtermiņa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iesniedzēju atlases un līguma noslēgšanas ar Aģentūru, projekta iesniedzējam ir finansējuma saņēmēja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finansējuma saņēmēji darbosies vadoties pēc viedās specializācijas jomas ilgtermiņa stratēģijām, kam pakārtoti finansējuma saņēmējs izstrādātajam projekta darbības plānam atbilstoši MK noteikumu 2. pielikumam. Finansējuma saņēmēju veiktajām aktivitātēm ir jāveicina vērtību viedās specializācijas jomas mērķu sasniegšana, kā arī to atbalstītajiem inovāciju projektiem ir jāatbilst viedās specializācijas jomas stratēģijā noteiktajiem mērķiem un prioritātēm. Pētniecības projekta veikšanai nepieciešamo privāto līdzfinansējumu nevar ieguldīt natūrā.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atbildīgs par projektu uzraudzības, datu ievades, interešu konflikta novēršanas, korupcijas un krāpšanas, dubultā finansējuma pārbaudes veikšanu.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var paredzēt iespēju piesaistīt neatkarīgu revidentu vai auditoru, kas sniegtu apliecinājumu par pētniecības projektu starpposmu vai gala noslēgumā atskaitē minēto mērķu sasniegšanu un izmaksu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Iekšējā kontroles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saņēmējam ir pienākums izstrādāt iekšējo kontroles sistēmu</w:t>
      </w:r>
      <w:r w:rsidR="00000000" w:rsidRPr="00000000" w:rsidDel="00000000">
        <w:rPr>
          <w:rtl w:val="0"/>
        </w:rPr>
        <w:t xml:space="preserve"> un ne vēlāk kā mēnesi pēc līguma parakstīšanas, bet ne vēlāk kā līdz pirmajam maksājuma pieprasījumam, iesniegt Aģentūrai iekšējās kontroles sistēmas dokumentāciju, ietverot tajā vismaz: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pasākumus interešu konflikta riska kontrolei</w:t>
      </w:r>
      <w:r w:rsidR="00000000" w:rsidRPr="00000000" w:rsidDel="00000000">
        <w:rPr>
          <w:rtl w:val="0"/>
        </w:rPr>
        <w:t xml:space="preserve"> (preventīvus pasākumus un konstatēšanas pasākumus interešu konflikta riska kontrolei, t. sk. paziņošanas procedūru par iespējamām interešu konflikta situācijām un to labošanas pasākumus) tai skaitā ietverot informāciju par interešu konflikta novēršanu saskaņā ar Komisijas 2018. gada 18. jūlija Regulas (ES) Nr. 2018/1046, par finanšu noteikumiem, ko piemēro Eiropas Savienības vispārējam budžetam, ar kuru groza Regulas (ES) Nr. 1296/2013, (ES) Nr. 1301/2013, (ES) Nr. 1303/2013, (ES) Nr. 1304/2013, (ES) Nr. 1309/2013, (ES) Nr. 1316/2013, (ES) Nr. 223/2014, (ES) Nr. 283/2014 un Lēmumu Nr. 541/2014/ES un atceļ Regulu (ES, Euratom) Nr. 966/2012 (turpmāk – Komisijas Regulas 2018/1046) 61. pantu. Vienlaikus, Komisijas Regulas Nr. 2018/1046 61. panta 3. punkts  nosaka, ka  interešu konflikts ir  finanšu dalībnieka vai citas personas funkcijas neatkarīgi un objektīvi traucē pildīt iemesli, kas saistīti ar ģimeni, emocionālajām saitēm, politisko vai nacionālo piederību, ekonomiskajām interesēm vai jebkādām citām tiešām vai netiešām personīgajām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interešu konflikta riska kontroli, finansējuma saņēmējs izstrādā iekšējās kontroles sistēmas aprakstu, kurā ir atrunāta vismaz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pārbaudes apraksts, visā lēmumu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procedūras aprakstu, kā pētniecības projektu vērtēšanas procesā pētniecības projektu vērtēšanas komisijas dalībnieki, kam ir konstatējams interešu konflikts risks,  izslēdz sevi no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pārbauda, vai visi pētniecības projektu vērtēšanas komisijas locekļi, eksperti un finansējuma saņēmēja darbinieki, kas iesaistīti pētniecības projektu vērtēšanas procesā, ir parakstījuši apliecinājumu “Objektivitātes, konfidencialitātes un interešu konflikta neesamības apliecinājumi”;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vai procedūra, kā paredzēts novērst interešu konflikta riska iestāšanos vai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procedūras, kas atrunā iekšējo kārtību šajā posmā, kā tiek dokumentēts process (rakstiski), lai nodrošinātu informācijas pierādāmību;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procedūru, kā tiek pārbaudīta interešu konflikta definīcija finansējuma saņēmējam, kas atrunā vismaz šādus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iesniegts tā pārstāvētā finansējuma saņēmēja vai sadarbības partnera projekts, kurā plānota attiecīgā finansējuma saņēmēja vai sadarbības partnera 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saņēmēja kapitāldaļu turētājs vērtē finansējuma saņēmēja kapitāldaļu turētāja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sadarbības partneris vērtē savu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citi objektīvi pamatoti un saskaņā ar Komisijas Regulas 2018/1046 61. pantā noteikto regulējumu attiecināmi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procedūras apraksts, par kārtību, kādā tiek piemērotas korektīvās darbības pret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krāpšanas un korupcijas risku novēršanas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aprakstījis, ka tas neatbilst izslēgšanas kritērijiem. Finansējuma saņēmējs pieprasa izrakstu no Sodu reģistra un uzņēmumu reģistra par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pastāvošos kontroles mehānismus, finansējuma saņēmējs identificē korupcijas riskus, izvērtē to iestāšanās iespējamību (varbūtību) un ietekmi iestāšanās gadījumā (radītās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funkcijām, darbības jomām vai procesiem finansējuma saņēmējs identificē korupcijas risku, izvērtē korupcijas riska iestāšanās iespējamību jeb varbūtību un tā ietekmi iestāšanās gadījumā jeb radītās sekas, ņemot vērā pastāvošos kontroles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risku identificēšanai var izmantot šādus informācijas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iekšējie un ārējie normatīvie akti, kā piemēram, Par Korupcijas novēršanas un apkarošanas pasākumu plānu 2023.–2025. gadam, Vadlīnijas par iekšējās kontroles sistēmas pamatprasībām korupcijas un interešu konflikta riska novēršanai publiskas personas institūcijā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iekšējā audita ziņojumos konstatētie trūkumi, pārkāpumi un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iekšējās kontroles un pārbaudes laikā konstatētie pārkāpumi, trūkumi un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iedzīvotāju sūdzības, aptaujas;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nodarbināto (t.sk., vadītāju) sniegtā informācija (aptaujas,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iestāžu revīzijas un auditu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dienesta pārbaužu un disciplinārlietu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ārējā informācija ‒ informācija vai komentāri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kriminālprocesa virzītāja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risku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prettiesiska labuma pieprasīšana un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neatļauta dāvanu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neatļauta informācijas izmantošana ar mērķi gūt labumu sev vai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prettiesiska rīcība publiskajos iepirkumos ar mērķi gūt labumu sev vai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ļaunprātīga dienesta stāvokļa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sadarbības partnera funkciju izpilde interešu konflikta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neatļauta rīcība ar finansējuma saņēmēju vai tai lietošanā, glabāšanā nodotu mantu vai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apzināta informācijas slēpšana savās vai citas personas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nodarbinātajam noteikto pienākumu apzināta neveikšana vai nolaidīga veikšana savās vai citas personas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nodarbinātā ietekmēšana nolūkā panākt personai labvēlīga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nevienlīdzīga attieksme lēmumu pieņemšanā attiecībā pret citiem darbiniekiem vai pretendentiem uz amata vietu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un citi finansējuma saņēmēja identificētie korupcijas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noteikta iekšējā komunikācija, komunikācijas kanāli (horizontālie, vertikālie), komunikācijas kanālu uzraudzība un paredzēta darbinieku apmācība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vērtēšanas komisijas locekļi, eksperti un finansējuma saņēmēja darbinieki, kas iesaistīti pētniecības projektu vērtēšanas procesā, vai sadarbības partneris rakstiski informē finansējuma saņēmēja vadītāju par interešu konflikta, krāpšanas un korupcijas riska iestāšanās varbūtību vai esamību. Finansējuma saņēmēja vadītājs pieņem lēmumu par pētniecības projektu vērtēšanas komisijas locekli, ekspertu un finansējuma saņēmēja darbinieku, kas iesaistīti pētniecības projektu vērtēšanas procesā, kurš ir nonācis interešu konflikta situācijā, funkcijas vai uzdevuma izpildes nodošanu citam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ētikas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Ētikas kodeksa uzdevums ir noteikt pētniecības projektu vērtēšanas komisijas locekļa, eksperta un finansējuma saņēmēja darbinieka, kas iesaistīti pētniecības projektu vērtēšanas procesā, ētikas principus, ar tiem saistītās tiesības, pienākumus, atbildību un ētiskas uzvedības standartus. Ētikas kodekss nav visaptverošs vērtību, ētikas principu un uzvedības normu apraksts. Savā personiskajā un profesionālajā rīcībā iepriekšminētie darbinieki ievēro arī vispārpieņemtās vērtības, ētikas principus un uzvedības normas. Lai nodrošinātu kontroles vides izveidošanu, Finansējuma saņēmēja vadītājs apstiprina ētikas principus, kas ir saistoši visiem Finansējuma saņēmēja nodarbinātajiem. Finansējuma saņēmēja ētikas principi tiek noteikti Ētikas kodeksā vai citā iekšējā normatīvajā aktā, nodrošinot to pieejamību Finansējuma saņēmēja darbiniekiem. Ētikas kodeksa piemēri – Latvijas Republikas Uzņēmumu reģistra ētikas kodekss, Izglītības un zinātnes ministrijas ētikas kodekss.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Procedūras apraksts, kurā aprakstīti pētniecības projektu vērtēšanas komisijas locekļu, ekspertu un finansējuma saņēmēja darbinieku, kas iesaistīti pētniecības projektu vērtēšanas procesā, profesionālās ētikas pamatprincipi, iepriekšminēto darbinieku uzvedības pamatprincipi, ētikas pamatprincipi komunikācijā ar lobētājiem, ētikas kodeksa normu pārkāpumu izskatīšanu. Nosaka ētikas pamatprincipus (piemēram, godīgums, taisnīgums, objektivitāte, neatkarība, profesionalitāte, atklātība), kas veicina nodarbināto likumīgu un godprātīgu darbību sabiedrības interesēs un nepieļauj Interešu konflikta likumā noteikto normu pārkāpumus un koruptīvas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kārtību, kā</w:t>
      </w:r>
      <w:r w:rsidR="00000000" w:rsidRPr="00000000" w:rsidDel="00000000">
        <w:rPr>
          <w:rtl w:val="0"/>
        </w:rPr>
        <w:t xml:space="preserve"> pētniecības projektu vērtēšanas komisijas loceklim, ekspertam un finansējuma saņēmēja darbiniekam, kas iesaistīti pētniecības projektu vērtēšanas procesā</w:t>
      </w:r>
      <w:r w:rsidR="00000000" w:rsidRPr="00000000" w:rsidDel="00000000">
        <w:rPr>
          <w:b w:val="1"/>
          <w:rtl w:val="0"/>
        </w:rPr>
        <w:t xml:space="preserve">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kā un kādā veidā (rakstveidā, elektroniskā veidā vai ieviešot ziņošanas kasti utt.) darbiniekam jārīkojas, ja tiek konstatēs interešu konflikta, krāpšanas, korupcijas, dubultā finansējuma, ētikas kodeksa, administratīvo vai kriminālpārkāpumu vai aizliegtās vienošanās iestāšanās varbūtība, darbinieks var iesniegt ziņojumu par iespējamiem citu nodarbināto pārkāpumiem, vienlaikus saglabājot ziņotāja anonimitāti.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 pasākumus aizliegtās vienošanās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Konkurences likuma 11. panta 1.punkta skaidrojumam  aizliegtā vienošanās ir tiešu vai netiešu cenu vai tarifu noteikšana jebkādā veidā vai to veidošanas noteikumi, ražošanas vai realizācijas apjoma, tirgus, tehniskās attīstības vai investīciju ierobežošana vai kontrole, tirgus sadale, nevienādu noteikumu piemērošana ekvivalentos darījumos ar trešajām personām, darbība (bezdarbība), kuru dēļ cits tirgus dalībnieks ir spiests atstāt kādu konkrēto tirgu vai tiek apgrūtināta potenciāla tirgus dalībnieka iekļūšana kādā konkrētajā tirgū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kārtību,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projektu vērtēšanas komisijas locekļu, ekspertu un finansējuma saņēmēja darbinieku, kas iesaistīti pētniecības projektu vērtēšanas procesā, informēšanu par aizliegtās vienošanās būtību, atbilstoši Konkurences likuma 11. panta definīcijai un apliecinājuma “Objektivitātes, konfidencialitātes un interešu konflikta neesamības apliecinājums”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procedūras apraksts kā finansējuma saņēmējs izvērtē risku par aizliegto vienošanos esamību gan finansējuma saņēmējam, gan sadarbības partneriem, tai skaitā kā tiek izvērtēta publiski pieejamā informāciju par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 sadarbības partnerim jārīkojas, ja tiek konstatēs interešu konflikta, krāpšanas, korupcijas, dubultā finansējuma, ētikas kodeksa, administratīvo vai kriminālpārkāpumu vai aizliegtās vienošanās iestāšanās varbūtība, paredzot iespēju iesniegt iesniegumu finansējuma saņēmēja vadītājam par konstatētajiem riskiem, norādot informāciju, kas varētu būt būtiska problēmas identificēšanai un liecināt par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procedūras aprakstu, kas novērš un identificē dubultā finansējuma situāciju pret citiem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 procedūras aprakstu kā finansējuma saņēmējs pārbauda dubultā finansējuma neesamību 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2022. gada 5. jūlija noteikumiem Nr. 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Atveseļošanas un noturības mehānisma plāna 2. komponentes “Digitālā transformācija” 2.2. reformu un investīciju virziena “Uzņēmumu digitālā transformācija un inovācijas” 2.2.1.3.i. investīcijas "Atbalsts jaunu produktu un pakalpojumu ieviešanai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Atveseļošanas un noturības mehānisma plāna 5.1. reformu un investīciju virziena “Produktivitātes paaugstināšana caur investīciju apjoma palielināšanu P&amp;A” 5.1.1.2.i. investīcijas "Atbalsta instruments pētniecībai un internacionalizācijai" otrās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kohēzijas politikas programmu 2021.–2027.gadam, tai skaitā 1.2.1. specifiskā atbalsta mērķa “Pētniecības un inovāciju kapacitātes stiprināšana un progresīvu tehnoloģiju ieviešana uzņēmumiem” 1.2.1.1. pasākuma “Atbalsts jaunu produktu attīstībai un internacionalizācijai” trešo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citiem finanšu instrumentiem. Dubultā finansējuma novēršanu jānodrošina ne tikai pret Eiropas Savienības finanšu instrumentiem, bet arī citiem finanšu instrumentiem, kā piemēram, valsts vai pašvaldības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dubultā finansējuma pārbaudei izmanto publiski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finansējuma riska novēršanai finansējuma saņēmējs sekos līdzi, lai Atveseļošanas fonda investīcijas ietvaros, ES fondu 2014. – 2020.gada plānošanas perioda 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un Eiropas Savienības struktūrfondu un Kohēzijas fonda 2021.–2027. gada plānošanas perioda darbības programmas 1.2.1. specifiskā atbalsta mērķa “Pētniecības un inovāciju kapacitātes stiprināšana un progresīvu tehnoloģiju ieviešana uzņēmumiem” 1.2.1.1. pasākumu "Atbalsts jaunu produktu attīstībai un internacionalizācijai"  ietvaros netiek īstenots viens un tas pats pētniecības projekts vairākos atbalsta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ziņošanas mehānismu kompetentajām iestādēm par potenciāliem administratīviem vai kriminālpārkāpumiem;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Procedūras aprakstu kā finansējuma saņēmēja darbiniekam un sadarbības partnerim jārīkojas, ja tiek konstatēs interešu konflikta, krāpšanas, korupcijas, dubultā finansējuma, ētikas kodeksa, administratīvo vai kriminālpārkāpumu vai aizliegtās vienošanās iestāšanās varbūtība, paredzot iespēju iesniegt iesniegumu finansējuma saņēmēja vadītājam par konstatētajiem riskiem, norādot informāciju, kas varētu būt būtiska problēmas identificēšanai un liecināt par tiesību pārkāpumu, piemēram, par komercdarbības atbalsta pārkāpumiem ziņo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iekšējās kontroles sistēmas detalizēts apraksts mazina nelikumīgu darbību iespējamību un citu risku iestāšanos investīcijas ieviešanā. Minimālo prasību izstrāde atvieglo iekšējās kontroles sistēmas izveidi un veido vienotu izpratni finansējuma saņēmējiem. Izstrādātās prasības mazinās administratīvo slogu gan finansējuma saņēmēj izstrādājot iekšējo kārtību, gan Aģentūrai veicot sniegtās informācijas atbilstības pārbaudes, vienlaikus sniegs juridisku skaidrību, sniedzot informāciju Aģentūrai pie projekta pieteikuma.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var piesaistīt nozares ekspertus un citu institūciju pārstāvjus finansējuma saņēmēja projektu uzraudzības posmā un pētniecības projektu maksājuma pieprasījuma izvērtēšanas posmā, ja nepieciešams, gūt pārliecību par veikto ieguldījumu attiecināmību, starpposma rezultātu un gala rezultātu, piemēram, šādās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ir saņemta informācija no trešajām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ir konstatētas aizdomas par dubulto finansējumu vai krāpšanu.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ir konstatētas savstarpējas neatbilstības iesniegtajos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no iesniegtajiem dokumentiem nav viennozīmīgi secināms pētniecības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114. punktā minēto, Aģentūra veic finansējuma saņēmēja progresa pārskatos pieejamo dokumentu pārbaudes un konstatēta interešu konflikta gadījumā veic darbības atbilstoši normatīvajiem aktiem par finansējuma atgūšanu, t.i. piemēro proporcionālo finanšu korekciju, pieprasot finansējuma saņēmējam atmaksāt Atveseļošanas fonda finansējumu par konkrēto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ietvaros finansējuma saņēmējs izveido pētniecības projektu vērtēšanas komisiju, kas nodrošina caurspīdīgu un vienotu pieeju izvērtēt labākos nozares pētniecības projektus, ko īsteno sadarbības partneri. Pēc MK noteikumu nosacījumiem lēmumu par atbilstību komercdarbības atbalsta normām pieņem Aģentūra. Aģentūra un nozares ministrija būtu uzskatāma kā atbalsta vadībā iesaistītās institūcijas, kas pilda uzraudzības, kontroles un sodīšanas funkcijas, pieņem lēmumus par finansējuma izlietojumu. Aģentūra pieņem lēmumu par atbilstību komercdarbības atbalsta nosacījumiem. Nozares ministrija pieņem lēmumu par atbilstību stratēģijai un pētniecības projektu nedublēšanos. Finansējuma saņēmējs nosūta Aģentūrai sarakstu ar pētniecības projektiem, kas pēc pētniecības projektu vērtēšanas komisijas izvērtējuma ir saņēmuši lielāko punktu skaitu. Šajā gadījumā pētniecības projektu vērtēšanas komisija ir identificējama kā konsultatīvā komisija, kas nevar ietekmēt Aģentūras lēmumu par sadarbības partnera atbilstību komercdarbības atbalsta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MK noteikumos noteiktās komercdarbības atbalsta kontroles normas, tostarp nosacījumi, kas izriet no Komisijas Regulas Nr. 651/2014, Atveseļošanas fonda finansējuma saņēmējam ir pienākums atmaksāt Aģentūrai nelikumīgo projekta ietvaros saņemto valsts atbalstu kopā ar procentiem no līdzekļiem, kas ir brīvi no valsts atbalsta atbilstoši Komercdarbības atbalsta kontroles likuma IV vai V nodaļas nosacījumiem. Procenti ir aprēķināmi no dienas, kad nelikumīgais komercdarbības atbalsts pirmo reizi nodots sadarbības partnerim, līdz tā atgūšanas dienai. Minētajā gadījumā finansējuma saņēmējam ir tiesības no sadarbības partnera saņemt kompensāciju atmaksātā nelikumīgā atbalsta  - kopā ar procentiem – apmērā. Konkrētā atbalsta programma ietver divpakāpju komercdarbības atbalsta sniegšanas procedūru un finansējuma saņēmējs ir vienlaikus gan atbalsta saņēmējs, gan finansējuma saņēmējs, gan arī sniedz priekšizvērtējumu par sadarbības partneru atbilstību komercdarbības atbalsta prasībām. Skaidrojam, ka MK noteikumi nedublē Komercdarbības atbalsta kontroles likumu un vispārīga atsauce uz Komercdarbības atbalsta kontroles likuma IV vai V nodaļu nenodrošina skaidru tiesību normu piemērošanu un paver plašas interpretācijas iespējas gan finansējuma saņēmējiem, gan sadarbības partneriem, gan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 Komisijas Regulas Nr. 1407/2013 nosacījumi, finansējuma saņēmējam ir pienākums atmaksāt Aģentūrai visu projekta ietvaros saņemto nelikumīgo </w:t>
      </w:r>
      <w:r w:rsidR="00000000" w:rsidRPr="00000000" w:rsidDel="00000000">
        <w:rPr>
          <w:i w:val="1"/>
          <w:rtl w:val="0"/>
        </w:rPr>
        <w:t xml:space="preserve">de minimis</w:t>
      </w:r>
      <w:r w:rsidR="00000000" w:rsidRPr="00000000" w:rsidDel="00000000">
        <w:rPr>
          <w:rtl w:val="0"/>
        </w:rPr>
        <w:t xml:space="preserve"> atbalstu no līdzekļiem, kas ir brīvi no komercdarbības atbalsta, kopā ar nelikumības procentiem, kas aprēķināmi no dienas, kad projektā </w:t>
      </w:r>
      <w:r w:rsidR="00000000" w:rsidRPr="00000000" w:rsidDel="00000000">
        <w:rPr>
          <w:i w:val="1"/>
          <w:rtl w:val="0"/>
        </w:rPr>
        <w:t xml:space="preserve">de minimis</w:t>
      </w:r>
      <w:r w:rsidR="00000000" w:rsidRPr="00000000" w:rsidDel="00000000">
        <w:rPr>
          <w:rtl w:val="0"/>
        </w:rPr>
        <w:t xml:space="preserve"> atbalsts tika izmaksāts finansējuma saņēmējam līdz tā atgūšanas dienai,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vērtēšanas procesā finansējuma saņēmējam jānovērš interešu konflikts pētniecības projektu vērtēšanas komisijas dalībnieku un ekspertu darbībā, ievērojot Komisijas Regulas 2018/1046 61.panta nosacījumus. Regulējums ir attiecināms uz nosacījumu ievērošanu Eiropas Savienības vispārējā budžeta izveidi un izpildi un par to pārskatu sniegšanu un revīziju. Ņemot vērā, ka finansējuma saņēmējs ir iesaistīti Eiropas Savienības finansējuma izpildē, tad nepieciešams ievērot Komisijas Regulas 2018/1046 nosacījumus. Papildus jāievēro Eiropas Komisijas 2021.gada 9.aprīļa paziņojuma “Norādījumi par izvairīšanos no interešu konfliktiem un to pārvaldību saskaņā ar Finanšu regulu” Nr. 2021/C 121/01 nosacījumi. Finansējuma saņēmējs pirms katras pētniecības projektu vērtēšanas komisijas sēdes pārliecinās par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pieļauts Komisijas Regulas 2018/1046 61.panta izpratnē interešu konflikts, MK noteikumu 115. un 116. punktos tiek atrunāti nosacījumi, kādos gadījumos nepastāv interešu konflikts. Minēto nosacījumu atrunāšana nodrošina projektā ekonomisko ieguvumu vai privātu interešu pārstāvniecības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izpratnē interešu konflikts ir situācija, kad pētniecības projektu vērtēšanas komisijas loceklis vai eksperts, vērtējot un apstiprinot pētniecības projektus, pieņem lēmumu, piedalās lēmuma pieņemšanā vai veic citas saistītas darbības, kas ietekmē vai var ietekmēt pētniecības projekta vērtēšanas komisijas locekļa, eksperta, tā radinieka vai darījumu partnera personiskās vai mantiskās intereses. Par interešu konfliktu ir uzskatāms, ja šajā punktā minēto personu pienākumu neatkarīgu un objektīvu pildīšanu negatīvi ietekmē iemesli, kas saistīti ar ģimeni, jūtu dzīvi, politisko piederību vai valstspiederību, mantiskajām vai jebkādām citām tiešām vai netiešām personīgajām interesēm, kas attiecīgajai personai ir kopējas ar labuma saņēmēju, pamatojoties uz Komisijas Regulas 2018/1046 61.panta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interešu konflikta riska iestāšanos investīcijas uzraudzībā iesaistīta Aģentūra, kā arī nozares ministrija piedaloties projektu iesniegumu vērtēšanas komisijas un pētniecības projektu vērtēšanas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ieviešanā, lai nodrošinātu risku iestāšanos, veikti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attiecībā uz interešu konflikta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iekļauta interešu konflikta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sadarbības partnerus piesaistei organizē atklātu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pēc sadarbības partneru konkursa organizēšanas, atklātā konkursā atlasa no interešu konflikta brīvus pētniecības projektu vērtēšanas komisijas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katrs pētniecības projektu vērtēšanas komisijas dalībnieks pētniecības projektu vērtēšanā aizpilda individuālu vērtēšanas 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konstatē, ka pētniecības projektu vērtēšanas komisijas dalībnieks ir piedalījies lēmuma pieņemšanas procesā, pastāvot interešu konfliktam, tad finansējuma saņēmējs izslēdz šo dalībnieku no pētniecības projektu vērtēšanas komisijas un organizē jaunu komisijas sēdi izvērtējot atkārtoti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nozares ministrijas pārstāvis pētniecības projektu vērtēšanas komisijas vērtēšanas procesa ietvaros konstatē, ka nav pietiekami pamatots pētniecības projekta iesnieguma vai progresa pārskata izvērtēšanas process un pētniecības projektu vērtēšanas komisijas neapstiprina neatkarīga eksperta pieaicināšanu, tad nozares ministrijas pārstāvis neparaksta protokolu un  pētniecības projektu saraksts netiek virzīts uz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nosakot, ka finansējuma saņēmējam ir tiesības iesaistīt arī sadarbības partnerus, kas nav finansējuma saņēmēja kapitāldaļu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noteikts, ka nozares ministrijai pienākums pārbaudīt, vai Atveseļošanas fonda finansējuma ietvaros pētniecības projekta īstenošanā nav konstatējamas pazīmes, kas liecina par pieļautu dubultā finansējuma situāciju, tai skaitā pārbaudīt demarkāciju arī starp citiem publiskā finansējuma avotiem, kā arī pārbaudīt, vai nav konstatējamas korupcijas, krāpšanas riska un interešu konflikta pazīmes, ja nepieciešams, veicot darbības to novēršanai un 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noteikts, ka finansējuma saņēmēja pienākums ir pārbaudīt, novērst un labot interešu konfliktu, korupciju un krāpšanu pirms pētniecības projektu vērtēšanas komisijas sēdes, kurā tiks izskatīti pētniecības projekti. Papildus noteikts, ka visu īstenošanas laiku nodrošināt pārbaužu dokumentēšanu un apliecinājuma par interešu konflikta nepieļaušanu parakstīšanu pirms pētniecības projektu vērtēšanas komisijas sēdes, ja nepieciešams, novēršot vai labojot identificētos riskus vai konstatēto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Aģentūra pārbauda, vai Atveseļošanas fonda plāna investīciju un reformu īstenošanā nav konstatējamas pazīmes, kas liecina par pieļautu interešu konflikta, korupcijas, krāpšanas vai dubultā finansējuma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attiecībā uz pārvaldības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Aģentūra pieņem lēmumu par komercdarbības atbalstu, veicot ar projekta pieteikumiem un līguma grozījumiem saistītās dokumentācijas pārbaudes kā finansējuma saņēmēja iesniegto pieteikumu dokumentu, mazā, vidējā komersanta statusa, grūtībās nonākuša uzņēmuma statusa, nodokļu parādu pārbaudes, kā arī atbilstību vērtēšanas kritērijiem pirms lēmumu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pētniecības projektu vērtēšanas komisijas sastāvā iekļauj nozares komersantus, pētniecības un zināšanu izplatīšanas organizāciju pārstāvjus, virziena zinātniskos vadītājus, nozares ministrijas pārstāvi, asociācijas pārstāvi un citus pārstāvjus,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uzraudzības ietvaros pētniecības projektu vērtēšanas komisijai pienākums pārliecināties, ka sadarbības partnera pētniecības projekta izdevumi ir nepieciešami pētījuma rezultātu sasniegšanai un ka šī saistība ir skaidri saprotama un pierādāma, un pētniecības projekta izdevumi ir veikti, ievērojot saimnieciskuma, lietderības un efektivitātes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attiecībā uz procesu dokumentēšanu: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izstrādāts vienots objektivitātes, konfidencialitātes un interešu konflikta neesamības apliecinājums, ko paraksta visi projektā iesaistītie pētniecības projektu vērtēšanas komisijas dalībnieki, finansējuma saņēmējs un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noteikts, ka nozares ministrijas pārstāvis pētniecības projektu vērtēšanas komisijas sēžu protokolā ar parakstu apliecina, ka nav konstatēts iespējamais interešu konflikta, dubultā finansējuma, krāpšanas un korupcijas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nozares ministrija ir izstrādājusi pētniecības projektu kritēriju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atrunāts, ka jāreģistrē visi saņemtie pētniecības projektu pieteikumi, nosūtot elektronisku apstiprinājumu par saņemtu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saņēmējam nepieciešams dokumentēt un uzglabāt pētniecības projektu iesniegumu apstiprināšanas un noraidīšanas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saņēmējam nepieciešams sagatavot un uzglabāt visu pētniecības projektu vērtēšanas pamatojošo dokumentāciju, tai skaitā dokumentēt pētniecības projektu vērtēšanas komisijas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finansējuma saņēmējam jādokumentē veiktās pārbaudes pie sadarbības partnera.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Pārbauda projekta iesniedzēja vai līguma par projekta īstenošanu grozījumu gadījumā sadarbības partnera atbilstību MK noteikumu 31.1, 31.2., 31.3., 31.4. un 31.5. apakšpunktos minētajiem izslēgšanas kritērijiem, kurus izvērtē atbilstoši Komisijas Regulas Nr. 2018/1046 136. pantam un Aģentūra atbalstu var piešķirt finansējuma saņēmējam, ja tas atbilst sekojošiem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iesniedzējs un sadarbības partneris atbilst komercdarbības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projekta iesniedzēju un sadarbības partneri nav attiecināmi šādi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iesniedzējs, sadarbības partneris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kukuļņemšana, kukuļdošana, kukuļa piesavināšanās, starpniecība kukuļošanā, neatļauta labumu pieņemšana vai komerciāla uzpirkšana, prettiesiska labumu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krāpšana, krāpšana automatizētā datu apstrādes sistēmā, apdrošināšanas krāpšana, piesavināšanās vai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izvairīšanās no nodokļu un tiem pielīdzināto maksājumu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preču un vielu, kuru aprite ir aizliegta vai speciāli reglamentēta, pārvietošana pāri Latvijas Republikas valsts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 to attiecas tāds attiecīgā jomā kompetentas institūcijas lēmums par sodu vai tiesas spriedumu, kas stājies spēkā un kļuvis nepārsūdzams, tas ir atzīts par vainīgu un sodīts par pārkāpumu, kas izpaužas kā vienas vai vairāku personu nodarbināšana, ja tām nav nepieciešamās darba atļaujas vai ja tas nav tiesīgas uzturēties Eiropas Savienības dalībvalstī vai kā personas nodarbināšana bez rakstveidā noslēgta darba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ar tādu attiecīgā jomā kompetentas institūcijas lēmumu vai tiesas spriedumu, kas stājies spēkā un kļuvis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ir pasludināts tā maksātnespējas process, ierosināta tiesiskās aizsardzības procesa lieta vai tiek īstenots tiesiskās aizsardzības process, apturēta vai pārtraukta tā saimnieciskā darbība vai tas tiek likvidēts;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ar tādu attiecīgā jomā kompetentas institūcijas lēmumu par sodu vai tiesas spriedumu, kas stājies spēkā un kļuvis nepārsūdzams, ir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pārbauda projekta iesniedzēja vai līguma par projekta īstenošanu grozījumu gadījumā sadarbības partnera atbilstību MK noteikumu 31.6. un 31.7. apakšpunktos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atbilst Starptautisko un Latvijas Republikas nacionālo sankciju likuma 11.</w:t>
      </w:r>
      <w:r w:rsidR="00000000" w:rsidRPr="00000000" w:rsidDel="00000000">
        <w:rPr>
          <w:vertAlign w:val="superscript"/>
          <w:rtl w:val="0"/>
        </w:rPr>
        <w:t xml:space="preserve">2</w:t>
      </w:r>
      <w:r w:rsidR="00000000" w:rsidRPr="00000000" w:rsidDel="00000000">
        <w:rPr>
          <w:rtl w:val="0"/>
        </w:rPr>
        <w:t xml:space="preserve"> panta pirmajā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to attiecas līdzekļu atgūšanas rīkojums, kas minēts Komisijas Regulas Nr. 651/2014 1. panta 4. punkta “a”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izslēgšanas kritēriju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 šo kritēriju ir saprotama pārbaude saskaņā ar Krimināllikuma 326.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šāda izslēgšanas kritērija mērķis ir pārliecināties, ka personas (valdes, padomes locekļi) iepriekš nav veikuši šādus noziegumus valsts pārvaldē kā amatpersonas, jo tas var liecināt par šo personu negodprātību finanšu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Izslēgšanas kritēriji netiek attiecināti uz publiskām iestādēm, jo izslēgšanas kritēriju piemērošanas prakse tiek pārņemta no pieejas struktūrfondos – Eiropas Savienības fondu 2021.—2027. gada plānošanas perioda vadības likuma – un, ņemot vērā objektīvi pamatotu risku neesību šajā jomā, nepieciešams mērķtiecīgi īstenot izslēgšanas kritēriju pārbaudes tikai attiecībā uz tiem subjektiem, kur šie riski ir padziļināti pārbaudāmi, tas ir,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izslēgšanas nosacījumu kontrole tiek veikta, tostarp pārbaudot attiecīgās personas sodāmību saskaņā ar zemāk norādītajām normām: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39"/>
        <w:gridCol w:w="1675"/>
        <w:gridCol w:w="5877"/>
        <w:tblGridChange w:id="0">
          <w:tblGrid>
            <w:gridCol w:w="1639"/>
            <w:gridCol w:w="1675"/>
            <w:gridCol w:w="587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Personas dalības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norma</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 pārbaudāmās personas valdes vai padomes loceklis, prokūrists vai persona, kura ir pilnvarota pārstāvēt pārbaudāmo personu darbībās, kas saistītas ar filiāli</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1</w:t>
            </w:r>
            <w:r w:rsidR="00000000" w:rsidRPr="00000000" w:rsidDel="00000000">
              <w:rPr>
                <w:sz w:val="24"/>
                <w:rtl w:val="0"/>
              </w:rPr>
              <w:t xml:space="preserve"> pants. Terorisms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2</w:t>
            </w:r>
            <w:r w:rsidR="00000000" w:rsidRPr="00000000" w:rsidDel="00000000">
              <w:rPr>
                <w:sz w:val="24"/>
                <w:rtl w:val="0"/>
              </w:rPr>
              <w:t xml:space="preserve"> pants. Terorisma finansēšana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3</w:t>
            </w:r>
            <w:r w:rsidR="00000000" w:rsidRPr="00000000" w:rsidDel="00000000">
              <w:rPr>
                <w:sz w:val="24"/>
                <w:rtl w:val="0"/>
              </w:rPr>
              <w:t xml:space="preserve">  pants. Teroristu grupa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4</w:t>
            </w:r>
            <w:r w:rsidR="00000000" w:rsidRPr="00000000" w:rsidDel="00000000">
              <w:rPr>
                <w:sz w:val="24"/>
                <w:rtl w:val="0"/>
              </w:rPr>
              <w:t xml:space="preserve"> pants. Personas vervēšana, apmācīšana un apmācīšanās terorismam</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5</w:t>
            </w:r>
            <w:r w:rsidR="00000000" w:rsidRPr="00000000" w:rsidDel="00000000">
              <w:rPr>
                <w:sz w:val="24"/>
                <w:rtl w:val="0"/>
              </w:rPr>
              <w:t xml:space="preserve"> pants. Ceļošana terorisma nolūkā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6</w:t>
            </w:r>
            <w:r w:rsidR="00000000" w:rsidRPr="00000000" w:rsidDel="00000000">
              <w:rPr>
                <w:sz w:val="24"/>
                <w:rtl w:val="0"/>
              </w:rPr>
              <w:t xml:space="preserve"> pants. Terorisma attaisnošana, aicinājums uz terorismu un terorisma draudi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w:t>
            </w:r>
            <w:r w:rsidR="00000000" w:rsidRPr="00000000" w:rsidDel="00000000">
              <w:rPr>
                <w:sz w:val="24"/>
                <w:vertAlign w:val="superscript"/>
                <w:rtl w:val="0"/>
              </w:rPr>
              <w:t xml:space="preserve">1</w:t>
            </w:r>
            <w:r w:rsidR="00000000" w:rsidRPr="00000000" w:rsidDel="00000000">
              <w:rPr>
                <w:sz w:val="24"/>
                <w:rtl w:val="0"/>
              </w:rPr>
              <w:t xml:space="preserve"> pants. Noziedzīga organizācija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r w:rsidR="00000000" w:rsidRPr="00000000" w:rsidDel="00000000">
              <w:rPr>
                <w:sz w:val="24"/>
                <w:vertAlign w:val="superscript"/>
                <w:rtl w:val="0"/>
              </w:rPr>
              <w:t xml:space="preserve">1</w:t>
            </w:r>
            <w:r w:rsidR="00000000" w:rsidRPr="00000000" w:rsidDel="00000000">
              <w:rPr>
                <w:sz w:val="24"/>
                <w:rtl w:val="0"/>
              </w:rPr>
              <w:t xml:space="preserve"> pants. Cilvēku tirdzniecība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 pants. Krāpšana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w:t>
            </w:r>
            <w:r w:rsidR="00000000" w:rsidRPr="00000000" w:rsidDel="00000000">
              <w:rPr>
                <w:sz w:val="24"/>
                <w:vertAlign w:val="superscript"/>
                <w:rtl w:val="0"/>
              </w:rPr>
              <w:t xml:space="preserve">1</w:t>
            </w:r>
            <w:r w:rsidR="00000000" w:rsidRPr="00000000" w:rsidDel="00000000">
              <w:rPr>
                <w:sz w:val="24"/>
                <w:rtl w:val="0"/>
              </w:rPr>
              <w:t xml:space="preserve"> pants. Krāpšana automatizētā datu apstrādes sistēmā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178. pants. Apdrošināšanas krāpšana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 pants.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184.pants trešā daļa. Izspiešana organizētā grupā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190.</w:t>
            </w:r>
            <w:r w:rsidR="00000000" w:rsidRPr="00000000" w:rsidDel="00000000">
              <w:rPr>
                <w:sz w:val="24"/>
                <w:vertAlign w:val="superscript"/>
                <w:rtl w:val="0"/>
              </w:rPr>
              <w:t xml:space="preserve">1</w:t>
            </w:r>
            <w:r w:rsidR="00000000" w:rsidRPr="00000000" w:rsidDel="00000000">
              <w:rPr>
                <w:sz w:val="24"/>
                <w:rtl w:val="0"/>
              </w:rPr>
              <w:t xml:space="preserve"> pants. Preču un vielu, kuru aprite ir aizliegta vai speciāli reglamentēta, pārvietošana pāri Latvijas Republikas valsts robežai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 pants. Noziedzīgi iegūtu līdzekļu legalizēšana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 pants. Neatļauta labumu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 pants. Komerciālā uzpirkšana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 pants. Izvairīšanās no nodokļiem un tiem pielīdzināto maksājumu nomaksas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pants. Kukuļņemšana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321. pants. Kukuļa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322. pants. Starpniecība kukuļošanā (ja kriminālprocess ierosināts līdz Krimināllikuma grozījumu stāšanās spēkā, t.i. 2022. gada 4. maijam)</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323. pants. Kukuļdošana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 pants. Neatļauta piedalīšanās mantiskos darījumos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1</w:t>
            </w:r>
            <w:r w:rsidR="00000000" w:rsidRPr="00000000" w:rsidDel="00000000">
              <w:rPr>
                <w:sz w:val="24"/>
                <w:rtl w:val="0"/>
              </w:rPr>
              <w:t xml:space="preserve"> pants. Tirgošanās ar ietekmi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2</w:t>
            </w:r>
            <w:r w:rsidR="00000000" w:rsidRPr="00000000" w:rsidDel="00000000">
              <w:rPr>
                <w:sz w:val="24"/>
                <w:rtl w:val="0"/>
              </w:rPr>
              <w:t xml:space="preserve"> pants. Prettiesiska labumu pieprasīšana un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3</w:t>
            </w:r>
            <w:r w:rsidR="00000000" w:rsidRPr="00000000" w:rsidDel="00000000">
              <w:rPr>
                <w:sz w:val="24"/>
                <w:rtl w:val="0"/>
              </w:rPr>
              <w:t xml:space="preserve"> pants. Prettiesiska labumu 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nodokļiem un nodevām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panta otrā daļa. Informatīvo deklarāciju iesniegšanas termiņu neievērošana</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Konkurences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pirmā daļa (tostarp jebkurš no minētās daļas punktiem), ja par vertikālo vienošanos, kuras mērķis ir ierobežot pircēja iespēju noteikt tālākpārdošanas cenu, vai horizontālā karteļa vienošanos kā izslēgšanas pamatu no iepirkuma procedūras Sodu reģistrā ir norādījusi Konkurences padome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Imigrācijas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r w:rsidR="00000000" w:rsidRPr="00000000" w:rsidDel="00000000">
              <w:rPr>
                <w:sz w:val="24"/>
                <w:vertAlign w:val="superscript"/>
                <w:rtl w:val="0"/>
              </w:rPr>
              <w:t xml:space="preserve">4</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Par vienas vai vairāku personu  nodarbināšanu, ja attiecīgā persona ir tiesīga uzturēties Latvijas Republikā, bet tai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Par vairāk nekā piecu personu nodarbināšanu, ja tās ir tiesīgas uzturēties Latvijas Republikā, bet tām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Par vienas vai vairāku tādu personu (līdz piecām personām) nodarbināšanu, kuras nav tiesīgas uzturēties Latvijas Republikā.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pants. Darba līguma nenoslēgšana rakstveida formā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saskaņā ar likumu “Grozījumi Krimināllikumā” Krimināllikuma 322. pants ir svītrots, Krimināllikuma pārejas noteikumu 28. punktā noteiktais paredz piecu gadu noilguma perioda ievērošanu 322. panta piemērošanai, t.i., - ja kriminālprocess ierosināts līdz Krimināllikuma grozījumu stāšanās spēkā - 2022. gada 4. maijam, tad 322. pants ir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vielu, kuru aprite ir aizliegta vai speciāli reglamentēta, pārvietošana pāri Latvijas Republikas valsts robežai, minētais attiecināms uz sadarbības partneri, kas, atbilstoši Krimināllikuma 190.</w:t>
      </w:r>
      <w:r w:rsidR="00000000" w:rsidRPr="00000000" w:rsidDel="00000000">
        <w:rPr>
          <w:vertAlign w:val="superscript"/>
          <w:rtl w:val="0"/>
        </w:rPr>
        <w:t xml:space="preserve">1</w:t>
      </w:r>
      <w:r w:rsidR="00000000" w:rsidRPr="00000000" w:rsidDel="00000000">
        <w:rPr>
          <w:rtl w:val="0"/>
        </w:rPr>
        <w:t xml:space="preserve"> pantam, veicis neatļautas darbības un ticis sodīts, taču neaizliedz veikt aktivitātes, ja sadarbības partneris saņēmis atļauju aktivitāšu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izslēgšanas nosacījumu kontrole tiek veikta, pārbaudot attiecīgās personas sodāmību Iekšlietu ministrijas Informācijas centra pārziņā esošajā valsts informācijas sistēmā “Sodu reģistrs”, un informāciju par to, ka attiecīgajai personai uz pieteikuma iesniegšanas brīdi nav aktuālu datu par tiesiskās aizsardzības procesiem, maksātnespējas (t.sk. bankrota, sanācija vai izlīguma) procesiem, likvidācijas procesu, apturētu vai pārtrauktu saimniecisko darbību, tiesvedību par bankrotu, piemērotu sanāciju vai izlīgumu, pārbauda Latvijas Republikas Uzņēmumu reģistrā. Vienlaikus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84. punkts paredz, ka nozares ministrijai 1.2.1.2.i. 2.pasākuma uzraudzībai ir tiesības pieprasīt un saņemt informāciju no Iekšlietu ministrijas Sodu reģistra, ko nozares ministrija pieprasa atzinuma veidā. Pieprasījums tiks balstīts uz starpresoru vienošanās pamata, kas tiks slēgts pēc MK noteikumu stāšanās spēkā. Vienlaikus, tiks izmantota publiski pieejamā informācija Lursoft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lai izveidotu no interešu konflikta, korupcijas un krāpšanas brīvu pētniecības projektu vērtēšanas komisiju un attiecīgi turpmāko to lēmumu pieņemšanu pret sadarbības partneri, MK noteikumu 74.6. apakšpunkts paredz, ka Aģentūra sniedz atzinumu finansējuma saņēmējam  par interešu konflikta, korupcijas un krāpšanas neesību starp pētniecības projektu vērtēšanas komisijas dalībniekiem un sadarbības partneriem. Finansējuma saņēmējs MK noteikumu ietvaros neveic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pētniecības projektu vērtēšanas komisija varētu veikt interešu konflikta pārbaudi, tā izmanto Aģentūras sniegto atzinumu. Ja finansējuma saņēmēja izveidotajā pētniecības projektu vērtēšanas komisijas sastāvā tiek veiktas izmaiņas, tas atkārtoti Aģentūrai pieprasa atzinumu par jaunajiem pētniecības projektu vērtēšanas komisijas dalībniekiem un iespējamo interešu konflikta saistību pret sadarbības partneriem. Savukārt, pētniecības projektu vērtēšanas komisija, nodrošinot MK noteikumu 106.6. apakšpunkta ieviešanu, atkārtoti nepieprasa Aģentūrai sniegt atzinumu, bet pārliecinās, ka finansējuma saņēmējs ir veicis atbilstošu priekšizvērtējumu par dubultā finansējuma riska, interešu konflikta, krāpšanas un korupcijas neesību pētniecības projektu izvērtēšanas un apstiprināšanas procesā, veicot nepieciešamās darbības to novēršanā un labošanā, nodrošinot objektivitāti un vienlīdzīgu pieeju visiem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savas būtības atbalsta piešķiršanai kā priekšnoteikums ir nepieciešamība izmantot Komisijas Regulas Nr. 2018/1046 nosacījumus atbalsta mehānismā, kur 135.panta 1.punkta "a" apakšpunkts nosaka, ka, lai aizsargātu Eiropas Savienības finanšu intereses, Eiropas Komisija izveido un uztur agrīnas atklāšanas un izslēgšanas sistēmu ar mērķi izslēgt no vērtēšanas procesa subjektus, uz kuriem attiecas kāda no 136. panta 1. punktā minētajām izslēgšanas situācijām un minētā prasība faktiski ir nodrošināma visos atbalsta saņemšanas līmeņos (gan finansējuma saņēmēja, gan sadarbības partnera), tādējādi jau preventīvi novēršot korupcijas, krāpšanas un dubultā finansējuma riskus. No dalībvalsts puses ir pienākums nodrošināt arī finansējuma saņēmēja projektu iesniegumu vērtēšanu no lēmuma pieņemšanu par komercdarbības atbalsta piešķiršanu, pamatojoties uz Ministru Kabineta 2021.gada 7.septembra noteikumu Nr.621 “Eiropas Savienības Atveseļošanas un noturības mehānisma plāna īstenošanas un uzraudzības kārtība” 2.3.1.apakšpunktu, kas nosaka, ka Aģentūra nodrošina Atveseļošanas fonda plāna ietvaros investīciju projektu iesniegumu atlasi, ja to paredz attiecīgie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2021/241 nosaka, ka investīcijas ietvaros nepieciešamas nodrošināt, ka tiek novērsta, atklāta un labota krāpšana, korupcija un interešu konflikti un ka netiek pieļauta dubulta finansēšana no mehānisma un citām Eiropas Savienības programmām. Līdz ar to nozares ministrijai, finansējuma saņēmējiem, pētniecības projektu vērtēšanas komisijai investīcijas ietvaros jāveic atbilstīgus pasākumus, lai efektīvi novērstu, konstatētu un labotu interešu konfliktus, krāpšanu, korupciju, dubultā finansējuma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vienlīdzības principu ir saprotams Latvijas Republikas Satversme 91. pantā ietvertais vienlīdzības principam, proti, ka visi cilvēki Latvijā ir vienlīdzīgi likuma un tiesas priekšā, ievērojot vienādus nosacījumus investīcijas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caurspīdīguma principu ir saprotams ar pārskatāms lēmuma pieņemšanas process un pamatojošo dokumentu izsekojamība.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VI Investīcijas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tiek sniegts tādām projekta iesnieguma darbībām, kas tiek uzsāktas pēc projekta iesnieguma iesniegšanas dienas Vadības informācijas sistēmā, saskaņā ar MK noteikumu 42.punktā minēto, ko vērtē Aģentūra. Izmaksas ir attiecināmas no projekta iesnieguma iesniegšanas dienas Vadības informācijas sistēmā atbilstoši MK noteikumu 52.punkta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izmaksas var attiecināt līdz 2027.gada 31. decembrim. Ja finansējuma saņēmējam un sadarbības partnerim izmaksas rodas pēc 2027.gada 31. decembra, tad izmaksas tiek segtas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normatīvie akti" MK noteikumu izpratnē ir viss tiesiskais regulējums, kas nosaka attiecīgo iepirkumu veidu piemērošanu, kā arī noteikumus iepirkumu procedūru organizēšanā pasūtītāja finansētajiem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iesniedz maksājuma pieprasījumu Aģentūrai ne biežāk kā reizi ceturksnī. Maksājuma pieprasījumā iekļauj tikai tādus sadarbības partnera pētniecības projekta izdevumus, kuri ir faktiski izlietoti pētniecības projektā, tos ir izvērtējis un apstiprinājis finansējuma saņēmējs un pētniecības projektu vērtēšanas komisija. Finansējuma saņēmēja noslēgtajā līgumā ar Aģentūru tiek atrunātas minimālās prasības un biežums attiecībā uz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progresa pārskats iesniedzams ne vēlāk kā 2028.gada 5.janvārī. Finansējuma saņēmēja noslēgtajā līgumā par projekta īstenošanu ar Aģentūru tiek atrunātas minimālās prasības un biežums attiecībā uz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finansējuma ieguldīšanu un finansējuma izmantošanu, MK noteikumu 102.punktā atrunāti nosacījumi finansējuma saņēmējam, kurš sasniedzis projekta ietvaros noteiktos rādītājus, bet līdz 2027.gada 31.decembrim nav ieguldījis finansējumu pilnā apmērā, neizmantoto finansējumu finansējuma saņēmējs atgriež Aģentūrai. Nozares ministrija sagatavo un iesniedz Ministru kabinetā noteiktajā kārtībā ziņojumu par finansējuma izlietojumu un sniedz priekšlikumus par finansējuma pārvirzīšanu Eiropas Savienības kohēzijas politikas programma 2021.–2027.gadam plānošanas perioda nozares ministrijas atbalsta pasākumiem, piemēram, 1.2.1.1. pasākumam “Atbalsts jaunu produktu attīstībai un internacionalizācijai”.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informācijas un publicitātes pasākumus saskaņā ar Komisijas Regulas Nr. 2021/241 34. pantu un Atveseļošanas fonda nolīguma 10.pantu un “Eiropas Savienības fondu 2021.–2027. gada plānošanas perioda un Atveseļošanas fonda komunikācijas un dizaina vadlīniju” 3. nodaļu “Atveseļošanas fonda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uzglabāšanas nosacījumus finansējuma saņēmējam un sadarbības partnerim, paredzot finansējuma saņēmējam nodrošināt informācijas pieejamību 10 gadus, sākot no dienas, kad ir piešķirts pēdējais komercdarbības atbalsts saskaņā ar atbalsta nosacījumiem un sadarbības partnerim - 10 gadus, skaitot no atbalsta piešķiršanas brīža.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(komersants vai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(MVU)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(Pētniecības un zināšanu izplatīšanas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radīs pozitīvu ietekmi mazajiem, vidējiem un lieliem uzņēmumiem, nodrošinot valsts atbalsta saņemšanas iespējas, kas nepieciešamas pētniecības, inovāciju un attīstības aktivitāšu veikšanai.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radīs pozitīvu ietekmi mazajiem, vidējiem un lieliem uzņēmumiem, nodrošinot valsts atbalsta saņemšanas iespējas, kas nepieciešamas pētniecības, inovāciju un attīstības aktivitāšu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nozares ministrijas aplēsēm un Darbības programmas "Izaugsme un nodarbinātība" 1.2.1. specifiskā atbalsta mērķa "Palielināt privātā sektora investīcijas P&amp;A" 1.2.1.1. pasākuma "Atbalsts jaunu produktu un tehnoloģiju izstrādei kompetences centru ietvaros" sasniegtajiem rezultātiem, tiek prognozēts, ka MK noteikumu ietvaros būs šādi sagaidāmie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programmas ietvaros varētu tikt atbalstīti 105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jaunradīti un izstrādāti 210 jauni produkti, pakalpojumi vai tehnoloģijas, no kuriem 63 ieviesti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komersantu apgrozījuma pieaugums pētniecības projekta noslēgšanas gadā pret pētniecības projekta uzsākšanas gadu - 84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komersantu eksporta pieaugums pētniecības projekta noslēgšanas gadā pret pētniecības projekta uzsākšanas gadu - 58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izveidotas 500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piesaistītais privāto investīciju apmērs vismaz 26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tiks nodrošināts atbalsts Latvijas mazajiem, vidējiem un lieliem uzņēmumiem pētniecības, inovāciju un attīstības aktivitāšu veikšanai, tādējādi stiprinot to konkurētspēju gan vietējā, gan ārvalstu tirgū. Atbalss stiprinās Latvijas uzņēmumus, kas veic saimniecisko aktivitāti šādās viedās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Zināšanu ietilpīga bioekonomika;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Biomedicīna, medicīnas tehnoloģijas, farmācija;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Fotonika un viedie materiāli, tehnoloģijas un inženiersistēmas;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Viedā enerģētika un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Informācijas un komunikācijas tehnoloģijas.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radīs pozitīvu ietekmi mazajiem, vidējiem un lieliem uzņēmumiem, nodrošinot valsts atbalsta saņemšanas iespējas, kas nepieciešamas pētniecības, inovāciju un attīstības aktivitāšu veikšanai. MK noteikumu ietvaros sīkajiem (mikro), mazajiem, vidējiem un lielajiem komersantiem, t.sk. kapitālsabiedrībām un pētniecības un zināšanu izplatīšanas organizācijām ir iespējams atbalstīt jaunus pētniecības projektus balstoties uz noteikumu ieviešanas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prognozēts, ka MK noteikumu ietvaros tiks atbalstīti vismaz 60 komersanti, izveidotas 300 jaunas darba vietas, jaunradīti un izstrādāti 120 jauni produkti, pakalpojumi vai tehnoloģijas, no kuriem 35 ieviesti ražošanā, tiks novērots komersantu apgrozījuma pieaugums pētniecības projekta noslēgšanas gadā pret pētniecības projekta uzsākšanas gadu - 50 milj. euro, kā arī komersantu eksporta pieaugums pētniecības projekta noslēgšanas gadā pret pētniecības projekta uzsākšanas gadu - 35 milj. euro, piesaistītais privāto investīciju apmērs vismaz 16 milj. euro.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radīs pozitīvu ietekmi mazajiem, vidējiem un lieliem uzņēmumiem, nodrošinot valsts atbalsta saņemšanas iespējas, kas nepieciešamas pētniecības, inovāciju un attīstības aktivitāšu veikšanai. Tiek prognozēts, ka MK noteikumu ietvaros tiks atbalstīti vismaz 60 komersanti, izveidotas 300 jaunas darba vietas, jaunradīti un izstrādāti 120 jauni produkti, pakalpojumi vai tehnoloģijas, no kuriem 35 ieviesti ražošanā, tiks novērots komersantu apgrozījuma pieaugums pētniecības projekta noslēgšanas gadā pret pētniecības projekta uzsākšanas gadu - 50 milj. euro, kā arī komersantu eksporta pieaugums pētniecības projekta noslēgšanas gadā pret pētniecības projekta uzsākšanas gadu - 35 milj. euro, piesaistītais privāto investīciju apmērs vismaz 16 milj. euro.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radīs pozitīvu ietekmi mazajiem, vidējiem un lieliem uzņēmumiem, nodrošinot valsts atbalsta saņemšanas iespējas, kas nepieciešamas pētniecības, inovāciju un attīstības aktivitāšu veikšanai. Tiek prognozēts, ka MK noteikumu ietvaros tiks izveidotas 300 jaunas darba vietas, nodrošinot zinātības pratību izplatīšanu Latvijas uzņēmumos.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83 048,35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Projekta iesniedzējs (komersants vai biedrība)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1 372,70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10 981,60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projekta iesniedzējiem, kas iesniedz projekta iesniegumu CFLA. Administratīvo izmaksu pamatojumam tiek ņemti vērā Centrālās statistikas pārvaldes 2022.gada dati "Vidējā neto darba samaksa" - 1372.70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Sadarbības partneris (MVU)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1 372,70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55 594,35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projekta iesniedzējiem, kas iesniedz projekta iesniegumu CFLA. Administratīvo izmaksu pamatojumam tiek ņemti vērā Centrālās statistikas pārvaldes 2022.gada dati "Vidējā neto darba samaksa" - 1372.70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Sadarbības partneris (lielie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1 372,70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13 040,65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projekta iesniedzējiem, kas iesniedz projekta iesniegumu CFLA. Administratīvo izmaksu pamatojumam tiek ņemti vērā Centrālās statistikas pārvaldes 2022.gada dati "Vidējā neto darba samaksa" - 1372.70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Sadarbības partneris (Pētniecības un zināšanu izplatīšanas organizācijas)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1 372,70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mēnesis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3 431,75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projekta iesniedzējiem, kas iesniedz projekta iesniegumu CFLA. Administratīvo izmaksu pamatojumam tiek ņemti vērā Centrālās statistikas pārvaldes 2022.gada dati "Vidējā neto darba samaksa" - 1372.70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83 048,35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Noteikumos plānotais kopējais publiskais finansējums ir 40 000 000 </w:t>
            </w:r>
            <w:r w:rsidR="00000000" w:rsidRPr="00000000" w:rsidDel="00000000">
              <w:rPr>
                <w:sz w:val="24"/>
                <w:i w:val="1"/>
                <w:rtl w:val="0"/>
              </w:rPr>
              <w:t xml:space="preserve">euro</w:t>
            </w:r>
            <w:r w:rsidR="00000000" w:rsidRPr="00000000" w:rsidDel="00000000">
              <w:rPr>
                <w:sz w:val="24"/>
                <w:rtl w:val="0"/>
              </w:rPr>
              <w:t xml:space="preserve">, ko 100% apmērā sastāda Atveseļošanas fonda finansējums. Investīcijas izdevumu attiecināmības termiņš ir līdz 2027.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Pieejamā publiskā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16 000 000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20 000 000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4 000 000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plānotais kopējais publiskais finansējums sadalīts atbilstoši MK noteikumu ietvaros plānotajam avansa un gala noslēguma maksājuma pieprasījumu sadalījumam, pirmo avansa maksājumu (2024) pieprasot 40% apjomā no kopējā publiskā finansējuma apmēra, otro avansa maksājumu (2025) ne vairāk kā 50% un noslēguma maksājumu (2026) 10% apmērā  no kopējā publiskā 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Finanšu ministrija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sākot ar 2024.gada 1.ceturksni.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panta (turpmāk - Komisijas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Regulu (ES) Nr. 1407/2013 par Līguma par Eiropas Savienības darbību 107. un 108. panta piemērošanu de minimis atbalstam (Eiropas Savienības Oficiālais Vēstnesis, 2013. gada 24. decembris, Nr. L 352/1) (turpmāk - Komisijas regula Nr. 1407/2013)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12. februāra Regulas (ES) 2021/241, ar ko izveido Atveseļošanas un noturības mehānismu (turpmāk - Komisijas regula Nr. 2021/241)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panta (turpmāk - Komisijas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83.punkts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1.panta 4.punkta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18.punkta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85.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86.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41.1.2.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87.punkts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46.1.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Neparedz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3.punkta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3.punkta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3.punkta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3.punkta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3.punkta "b",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3.punkta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3.punkta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3.punkta "d" un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panta 5. punkta "b", "c", "d" apakšpunkts, 6. punkta "a" apakšpunkts un 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25.panta 6.punkta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90.punkts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90.punkts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100.4.1.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58.panta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9.panta 1.punkta "c" apakšpunkts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pants, 8. pants, 25.panta 5.punkta "b", "c", "d" apakšpunkts, 6. punkta "a" apakšpunkts un 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2.punkta "c", "d" apakšpunkts, 4. punkta "a" apakšpunkts un 4.panta 1.punkta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Divdesmit darba dienu laikā pēc noteikumu spēkā stāšanās Ekonomikas ministrija, izmantojot SANI2 sistēmu, iesniegs kopsavilkuma informāciju par programmu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Regulu (ES) Nr. 1407/2013 par Līguma par Eiropas Savienības darbību 107. un 108. panta piemērošanu de minimis atbalstam (Eiropas Savienības Oficiālais Vēstnesis, 2013. gada 24. decembris, Nr. L 352/1) (turpmāk - Komisijas regula Nr. 1407/2013)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w:t>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7.panta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5.pants, 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79.1.9.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79.2.15.1.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12. februāra Regulas (ES) 2021/241, ar ko izveido Atveseļošanas un noturības mehānismu (turpmāk - Komisijas regula Nr. 2021/241)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2021/241 2.panta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2021/241 2.panta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2021/241 34.pants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79.1.3.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2021/241 34.pants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80.7.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2021/241 2.panta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106.9.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 Latvijas Pārtikas uzņēmumu federācija, Latvijas Elektrotehnikas un elektronikas rūpniecības asociācija, Latvijas Elektroenerģētiķu un Energobūvnieku asociācija, Latvijas Kokrūpniecības federācija, Latvijas Ķīmijas un farmācijas uzņēmēju asociācija, Mašīnbūves un Metālapstrādes rūpniecības asociācija, Latvijas Būvnieku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“LEO pētījumu centrs”, SIA “Latvijas pārtikas kompetences centrs”, SIA “IT Kompetences centrs”, SIA “Meža nozares kompetences centrs”, SIA “Mašīnbūves kompetences centrs”, SIA "Farmācijas, biomedicīnas un medicīnas tehnoloģiju Kompetences centrs", SIA “ETKC”, Sabiedrība ar ierobežotu atbildību “VMKC”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https://www.em.gov.lv/lv/diskusiju-dokumenti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rezultātā no iesaistītajām institūcijām tika saņemti priekšlikumi un iebildumi. Sniegtie priekšlikumi un iebildumi konceptuāli izdiskutēti ar katru iesaistīto 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neparedz radīt papildus administratīvo slogu. Vienlaikus MK noteikumu ietvaros tiek paredzēta datu apmaiņa starp Centrālu finanšu un līgumu aģentūru un citām iesaistītajām valsts institūcijām, piemēram Iekšlietu ministrijas Informācijas centru par datu apmaiņu valsts informācijas sistēmā “Sodu reģistrs” esošo informāciju, tādējādi neradot papildus administratīvo slogu komersantiem.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noteikumiem tiks sekmēta viena no Nacionālā attīstības plāna mērķu izpildēm: Uzņēmumu izaugsme un konkurētspēja ir balstīta spējā uz zinātnes bāzes radīt un pārdot pieprasītus, zināšanu ietilpīgus produktus un pakalpojumus, iekļaujoties arvien augstākas pievienotās vērtības globālajās ķēdēs. Viedā specializācija, inovācija, tehnoloģiju attīstība un modernizācija, kā arī mērķtiecīgi ieguldījumi cilvēkkapitālā ir pamats produktivitātes kāpumam.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22-TA-3544</w:t>
    </w:r>
    <w:r>
      <w:br/>
    </w:r>
    <w:r w:rsidR="00000000" w:rsidRPr="00000000" w:rsidDel="00000000">
      <w:rPr>
        <w:rtl w:val="0"/>
      </w:rPr>
      <w:t xml:space="preserve">Izdrukāts 29.07.2026. 23.27 - 5.0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22-TA-3544</w:t>
    </w:r>
    <w:r>
      <w:br/>
    </w:r>
    <w:r w:rsidR="00000000" w:rsidRPr="00000000" w:rsidDel="00000000">
      <w:rPr>
        <w:rtl w:val="0"/>
      </w:rPr>
      <w:t xml:space="preserve">Izdrukāts 29.07.2026. 23.27 - 5.0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anotācija_(ex_ante)_22-TA-3544.docx</dc:title>
</cp:coreProperties>
</file>

<file path=docProps/custom.xml><?xml version="1.0" encoding="utf-8"?>
<Properties xmlns="http://schemas.openxmlformats.org/officeDocument/2006/custom-properties" xmlns:vt="http://schemas.openxmlformats.org/officeDocument/2006/docPropsVTypes"/>
</file>