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Noziedzīgi iegūtu līdzekļu legalizācijas un terorisma un proliferācijas finansēšanas novēršanas likuma subjekti pieprasa un saņem informāciju no valsts informācijas sistēmām"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5.februārī tika pieņemti grozījumi Noziedzīgi iegūtu līdzekļu legalizācijas un terorisma un proliferācijas finansēšanas novēršanas likumā (turpmāk – Novēršanas likums), papildinot Novēršanas likuma 5.</w:t>
      </w:r>
      <w:r w:rsidR="00000000" w:rsidRPr="00000000" w:rsidDel="00000000">
        <w:rPr>
          <w:vertAlign w:val="superscript"/>
          <w:rtl w:val="0"/>
        </w:rPr>
        <w:t xml:space="preserve">1</w:t>
      </w:r>
      <w:r w:rsidR="00000000" w:rsidRPr="00000000" w:rsidDel="00000000">
        <w:rPr>
          <w:rtl w:val="0"/>
        </w:rPr>
        <w:t xml:space="preserve"> pantu ar 3.</w:t>
      </w:r>
      <w:r w:rsidR="00000000" w:rsidRPr="00000000" w:rsidDel="00000000">
        <w:rPr>
          <w:vertAlign w:val="superscript"/>
          <w:rtl w:val="0"/>
        </w:rPr>
        <w:t xml:space="preserve">1</w:t>
      </w:r>
      <w:r w:rsidR="00000000" w:rsidRPr="00000000" w:rsidDel="00000000">
        <w:rPr>
          <w:rtl w:val="0"/>
        </w:rPr>
        <w:t xml:space="preserve"> daļu, kas nosaka Ministru kabinetam pilnvarojumu izdot noteikumus par kārtību, kādā likuma subjekti Novēršanas likumā noteikto pienākumu izpildei pieprasa un saņem ziņas  no Valsts ieņēmumu dienesta politiski nozīmīgu personu reģistra, Iekšlietu ministrijas Informācijas centra Sodu reģistra (turpmāk – Sodu reģistrs), Valsts vienotās datorizētās zemesgrāmatas, Transportlīdzekļu un to vadītāju valsts reģistra, Fizisko personu reģistra un šā panta otrajā daļā minēto un Nederīgo dokumentu reģistra izmantojot valsts platformu, kā arī kārtību, kādā izsniedz pieprasīto informāciju, un pieprasāmās un izsniedzamās informācijas apjomu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noteikumiem "Kārtība, kādā Noziedzīgi iegūtu līdzekļu legalizācijas un terorisma un proliferācijas finansēšanas novēršanas likuma subjekti  pieprasa un saņem informāciju no valsts informācijas sistēmām" (turpmāk – Noteikumu projekts) tiek noteiktas Novēršanas likuma subjektu tiesības pieprasīt un saņemt nepieciešamo informāciju no šā likuma 5.</w:t>
      </w:r>
      <w:r w:rsidR="00000000" w:rsidRPr="00000000" w:rsidDel="00000000">
        <w:rPr>
          <w:vertAlign w:val="superscript"/>
          <w:rtl w:val="0"/>
        </w:rPr>
        <w:t xml:space="preserve">1</w:t>
      </w:r>
      <w:r w:rsidR="00000000" w:rsidRPr="00000000" w:rsidDel="00000000">
        <w:rPr>
          <w:rtl w:val="0"/>
        </w:rPr>
        <w:t xml:space="preserve"> panta otrajā daļā minētajiem reģistriem un Nederīgo dokumentu reģistra, izmantojot valsts platformu, kā arī kārtību, kādā tiek sniegta pieprasītā informācija un pieprasāmās un izsniedzamās informācijas apjomu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ar Noteikumu projekta izstrādi tiek nodrošinātas Eiropas Parlamenta un Padomes 2024. gada 31. maija regulas Nr. 2024/1624 par to, lai nepieļautu finanšu sistēmas izmantošanu nelikumīgi iegūtu līdzekļu legalizēšanai un teroristu finansēšanai (turpmāk - Regula 2024/1624), un Eiropas Parlamenta un Padomes 2024. gada 31. maija direktīvas (ES) 2024/1640 par mehānismiem, kas dalībvalstīm jāievieš, lai nepieļautu finanšu sistēmas izmantošanu nelikumīgi iegūtu līdzekļu legalizēšanai vai teroristu finansēšanai, un ar ko groza Direktīvu (ES) 2019/1937 un ar ko groza un atceļ Direktīvu (ES) 2015/849, prasības kas piemērojamas sākot ar 2027. gada 10. jūliju.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Novēršanas likuma 3. panta pirmajā daļā minētie likuma subjekti pieprasa un saņem nepieciešamo informāciju no šā likuma 5.</w:t>
      </w:r>
      <w:r w:rsidR="00000000" w:rsidRPr="00000000" w:rsidDel="00000000">
        <w:rPr>
          <w:vertAlign w:val="superscript"/>
          <w:rtl w:val="0"/>
        </w:rPr>
        <w:t xml:space="preserve">1</w:t>
      </w:r>
      <w:r w:rsidR="00000000" w:rsidRPr="00000000" w:rsidDel="00000000">
        <w:rPr>
          <w:rtl w:val="0"/>
        </w:rPr>
        <w:t xml:space="preserve"> panta otrajā daļā minētajiem reģistriem un Nederīgo dokumentu reģistra, izmantojot valsts platformu, kā arī kārtību, kādā tiek sniegta pieprasītā informācija un pieprasāmās un izsniedzamās informācijas apjomu un glabāšanas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2023. gada 27. jūnija Ministru kabineta rīkojumu Nr. 400 (prot. Nr. 34 51. §)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 tika apstiprināts koplietošanas pakalpojumu attīstības plānu pakalpojumam "Datu apmaiņas nodrošināšanas pakalpojums – DAGR".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Pasākumu plāna noziedzīgi iegūtu līdzekļu legalizācijas, terorisma un proliferācijas finansēšanas novēršanai 2024. – 2026. gadam, kas apstiprināts ar Ministru kabineta 2024. gada 2. maija rīkojumu Nr. 338 (turpmāk - Pasākumu plāns), 3.24. uzdevumu ir nepieciešams uzlabot informācijas pieejamību klienta izpētes veikšanai, nodrošinot, ka Novēršanas likumā noteiktā informācija klienta izpētei no valsts informācijas sistēmām (Valsts ieņēmumu dienesta politiski nozīmīgu personu reģistra, Sodu reģistra, Valsts vienotās datorizētās zemesgrāmatas, Transportlīdzekļu un to vadītāju valsts reģistra un Fizisko personu reģistra, kā arī Nederīgo dokumentu reģistra) ir pieejama vienuviet un atbilstoši vienotiem standartiem, izmantojot  DAGR. Minētā uzdevuma atbildīgās institūcijas ir atbilstošo valsts informācijas sistēmu pārziņi un kā līdzatbildīgā institūcija ir noteikta Viedās administrācijas un reģionālās attīstības ministrija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5 februārī tika pieņemti grozījumi Novēršanas likumā, papildinot 5.</w:t>
      </w:r>
      <w:r w:rsidR="00000000" w:rsidRPr="00000000" w:rsidDel="00000000">
        <w:rPr>
          <w:vertAlign w:val="superscript"/>
          <w:rtl w:val="0"/>
        </w:rPr>
        <w:t xml:space="preserve">1</w:t>
      </w:r>
      <w:r w:rsidR="00000000" w:rsidRPr="00000000" w:rsidDel="00000000">
        <w:rPr>
          <w:rtl w:val="0"/>
        </w:rPr>
        <w:t xml:space="preserve"> pantu ar 3.</w:t>
      </w:r>
      <w:r w:rsidR="00000000" w:rsidRPr="00000000" w:rsidDel="00000000">
        <w:rPr>
          <w:vertAlign w:val="superscript"/>
          <w:rtl w:val="0"/>
        </w:rPr>
        <w:t xml:space="preserve">1</w:t>
      </w:r>
      <w:r w:rsidR="00000000" w:rsidRPr="00000000" w:rsidDel="00000000">
        <w:rPr>
          <w:rtl w:val="0"/>
        </w:rPr>
        <w:t xml:space="preserve"> daļu, kas nosaka Ministru kabinetam pilnvarojumu izdot noteikumus par kārtību, kādā likuma subjekti šajā likumā noteikto pienākumu izpildei pieprasa un saņem ziņas, no šā panta otrajā daļā minētajiem reģistriem un Nederīgo dokumentu reģistra, izmantojot  valsts platformu, kā arī kārtību, kādā izsniedz pieprasīto informāciju, un pieprasāmās un izsniedzamās informācijas apjomu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atbilstoši Novēršanas likuma, 5.</w:t>
      </w:r>
      <w:r w:rsidR="00000000" w:rsidRPr="00000000" w:rsidDel="00000000">
        <w:rPr>
          <w:vertAlign w:val="superscript"/>
          <w:rtl w:val="0"/>
        </w:rPr>
        <w:t xml:space="preserve">1</w:t>
      </w:r>
      <w:r w:rsidR="00000000" w:rsidRPr="00000000" w:rsidDel="00000000">
        <w:rPr>
          <w:rtl w:val="0"/>
        </w:rPr>
        <w:t xml:space="preserve"> panta otrajai daļai likuma subjektiem šajā likumā noteikto pienākumu izpildei ir tiesības pieprasīt un Ministru kabineta noteiktajā apmērā saņemt no Valsts ieņēmumu dienesta politiski nozīmīgu personu reģistra, Sodu reģistra, Valsts vienotās datorizētās zemesgrāmatas, Transportlīdzekļu un to vadītāju valsts reģistra un Fizisko personu reģistra ierakstus un ziņas šā likuma 10.</w:t>
      </w:r>
      <w:r w:rsidR="00000000" w:rsidRPr="00000000" w:rsidDel="00000000">
        <w:rPr>
          <w:vertAlign w:val="superscript"/>
          <w:rtl w:val="0"/>
        </w:rPr>
        <w:t xml:space="preserve">1</w:t>
      </w:r>
      <w:r w:rsidR="00000000" w:rsidRPr="00000000" w:rsidDel="00000000">
        <w:rPr>
          <w:rtl w:val="0"/>
        </w:rPr>
        <w:t xml:space="preserve"> panta pirmās daļas 2. punktā un 41. panta otrās daļas 3., 4., 5., 6. un 7. punktā minētajā apjomā, kā arī glabāt un citādi apstrādāt minēto informāciju. Informācija tiek iegūta veicot individuālus pieprasījumus katram minētajam reģistram.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minams, ka lietotājiem par Soda reģistra, Fizisko personu reģistra, Transportlīdzekļu un to vadītāju valsts reģistra un Valsts vienotās datorizētās zemesgrāmata izmantošanu tiek piemērota maksa, kuras apmēru nosaka attiecīgi Ministru kabineta noteikumi. Savukārt piekļuve Valsts ieņēmumu dienesta uzturētajam politiski nozīmīgu personu reģistram un Iekšlietu ministrijas Informācijas centra uzturētajam Nederīgo dokumentu reģistram ir bez 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Novēršanas likuma 5.</w:t>
      </w:r>
      <w:r w:rsidR="00000000" w:rsidRPr="00000000" w:rsidDel="00000000">
        <w:rPr>
          <w:vertAlign w:val="superscript"/>
          <w:rtl w:val="0"/>
        </w:rPr>
        <w:t xml:space="preserve">1</w:t>
      </w:r>
      <w:r w:rsidR="00000000" w:rsidRPr="00000000" w:rsidDel="00000000">
        <w:rPr>
          <w:rtl w:val="0"/>
        </w:rPr>
        <w:t xml:space="preserve"> panta pirmajai daļai likuma subjektiem un uzraudzības un kontroles institūcijām šajā likumā noteikto pienākumu izpildei ir tiesības pieprasīt un saņemt no Latvijas Republikas Uzņēmumu reģistra vestajiem reģistriem tiešsaistes formā ierakstus un ziņas par dalībniekiem un patiesajiem labuma guvējiem, kā arī glabāt un citādi apstrādāt minēto informāciju, lai izvērtētu ziņas par klientu un tā darījuma partneriem un nepieciešamību ziņot Finanšu izlūkošanas dienestam par aizdomīgu darījumu vai atturēties no aizdomīga darījuma veikšanas, kā arī konstatētu, vai klientam nav pasludināts juridiskās personas maksātnespējas process vai ierosināts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Novēršanas likuma 41. panta otro daļu kredītiestādēm un apdrošināšanas komersantiem, ciktāl tie veic dzīvības apdrošināšanas vai citas ar līdzekļu uzkrāšanu saistītas apdrošināšanas darbības, šajā likumā noteikto pienākumu izpildei ir tiesības pieprasīt un bez maksas saņemt, kā arī glabāt un citādi apstrādāt informāciju no Valsts ieņēmumu dienesta politiski nozīmīgu personu reģistra, Nederīgo dokumentu reģistra, Sodu reģistra, Valsts vienotās datorizētās zemesgrāmatas, Transportlīdzekļu un to vadītāju valsts reģistra un Fizisko personu reģistra. Tāpat kredītiestādēm papildus šā panta otrajā daļā minētajai informācijai ir tiesības pieprasīt un bez maksas saņemt, kā arī glabāt un citādi apstrādāt šā likuma 18.</w:t>
      </w:r>
      <w:r w:rsidR="00000000" w:rsidRPr="00000000" w:rsidDel="00000000">
        <w:rPr>
          <w:vertAlign w:val="superscript"/>
          <w:rtl w:val="0"/>
        </w:rPr>
        <w:t xml:space="preserve">2</w:t>
      </w:r>
      <w:r w:rsidR="00000000" w:rsidRPr="00000000" w:rsidDel="00000000">
        <w:rPr>
          <w:rtl w:val="0"/>
        </w:rPr>
        <w:t xml:space="preserve"> panta pirmajā daļā un 18.</w:t>
      </w:r>
      <w:r w:rsidR="00000000" w:rsidRPr="00000000" w:rsidDel="00000000">
        <w:rPr>
          <w:vertAlign w:val="superscript"/>
          <w:rtl w:val="0"/>
        </w:rPr>
        <w:t xml:space="preserve">5</w:t>
      </w:r>
      <w:r w:rsidR="00000000" w:rsidRPr="00000000" w:rsidDel="00000000">
        <w:rPr>
          <w:rtl w:val="0"/>
        </w:rPr>
        <w:t xml:space="preserve"> panta pirmajā daļā minētos dokumentus, kas Latvijas Republikas Uzņēmumu reģistram iesniegti pēc tā pieprasījuma, lai tas varētu pārliecināties par iesniegtās informācijas par patiesajiem labuma guvējiem ticamību.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īstenotu Pasākuma plāna 3.24. uzdevumu, sadarbībā ar iesaistītajām institūcijām (VARAM, Valsts digitālās attīstības aģentūra ((turpmāk – VDAA), Uzņēmumu reģistrs, Finanšu ministrija) un valsts informācijas sistēmu pārziņiem (Valsts ieņēmumu dienesta politiski nozīmīgu personu reģistrs, Sodu reģistrs, Valsts vienotā datorizētā zemesgrāmata, Transportlīdzekļu un to vadītāju valsts reģistrs, Fizisko personu reģistrs un Nederīgo dokumentu reģistrs) ir nepieciešams izstrādāt Ministru kabineta noteikumu projektu, kas noteiks kārtību, kādā Novēršanas likuma subjekti Novēršanas likumā noteikto pienākumu izpildei pieprasa un saņem ziņas, un Novēršanas likuma 5. panta otrajā daļā minēto valsts informācijas sistēmu pārziņi izsniedz ziņas, izmantojot Datu izplatīšanas un pārvaldīšanas platformu DAGR (turpmāk - DAGR), kā arī saņemamo informācijas apjomu un glabāšanas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ir valsts informācijas sistēmu savietotāja komponentes loģisks ilgtermiņa attīstības risinājums, kur procesi par datu piekļuvēm un pieslēgumu monitoringa, kā arī datu izmantošanas transakciju monitorings tiks nodots pilnībā kontrolējamā un caurspīdīgā vidē, kur pašapkalpošanās veidā Valsts informācijas resursu, sistēmu un sadarbspējas informācijas sistēmā tiks pārvaldītas datu piekļūšanas tiesības (https://dagr.gov.lv/).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Novēršanas likuma subjekti ar DAGR starpniecību pieprasa un saņem Valsts ieņēmuma dienesta politiski nozīmīgu personu reģistrā, Sodu reģistrā, Valsts vienotās datorizētās zemesgrāmatā, Transportlīdzekļu un to vadītāju valsts reģistrā, Fizisko personu reģistrā,  Nederīgo dokumentu reģistrā (turpmāk – datu devēji) esošos datus. Tāpat Noteikumu projekts paredz kārtību, kādā VDAA nodrošina Novēršanas likuma subjektu jeb lietotāju piekļuvi datu devēju krātuvēs esošajai informācijai, tostarp pārbauda lietotāju darbības atbilstību DAGR regulējošo normatīvo aktu prasībām, kā arī tiek regulēts lietotājiem sniedzamās informācijas apjoms un glabāšanas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lietotāju Noteikumu projekta tvērumā var būt tikai Novēršanas likuma 3. panta pirmajā daļā minētie likuma subjekti.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Noteikumos tiek iekļautas Regulas 2024/1624 22. panta 1. punkta "a" apakšpunkta "ii" punkta prasības attiecībā uz informācijas apjomu par klientu un patieso labuma guvēju, kas iegūstams no Fizisko personu reģistra, šīs prasības būs piemērojamas, sākot ar 2027. gada 10. jūliju.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2023. gada 31. oktobra Ministru kabineta noteikumiem Nr. 624 "Datu izplatīšanas un pārvaldības platformas noteikumi" (turpmāk  –  MK noteikumi Nr. 624) un Ministru kabineta 2024. gada 6. februāra noteikumiem Nr.89 "Valsts informācijas resursu, sistēmu un sadarbspējas informācijas sistēmas noteikumi" lietotājiem sākotnēji ir jākļūst par DAGR un Valsts informācijas resursu, sistēmu un sadarbspējas informācijas sistēmu (turpmāk – VIRSIS) lietotāju.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Turpmākai identifikācijai, autorizācijai un piekļuvei DAGR funkcionalitātei lietotājs izmanto pašapkalpošanās portālu VDAA uzturētā tīmekļvietnē www.dagr.gov.lv , tai skaitā lietotāju pilnvaro pārstāvi (-jus) datu iegūšanai no datu devēju informācijas sistēmām izmantojot  DAGR funkcionalitāti. Ja ir nepieciešams veikt izmaiņas šo noteikumu 3. punktā minētajā informācijā, ievērojot MK noteikumos  Nr. 624 noteikto kārtību, lietotājs patstāvīgi veic izmaiņas DAGR pašapkalpošanās portālā. Lietotājs (pilnvarotais pārstāvis), patstāvīgi pieslēdzoties DAGR, tiešsaistes režīmā veic pieprasījumus datu devēju informācijas sistēmās, ja tiek konstatēts drošības incidents, kas radies DAGR un apdraud datu devēju informācijas sistēmās esošo ziņu konfidencialitāti, integritāti vai pieejamību, atbilstoši MK noteikumu Nr. 624  33. punktam nekavējoties informē VDAA. Atbilstoši MK noteikumu Nr. 624 23. punktam VDAA nodrošina Piekļuvi datu devēju informācijas sistēmās esošajai informācijai 24h/7 režīmā. Dati, kas iekļauti datu devēju informācijas sistēmās lietotājiem pēc pieprasījuma saņemšanas, tiek sniegti strukturēti JSON (Java Script Object Notation) vai citā formātā.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DAGR pašapkalpošanās portālu lietotājam saskaņā ar MK noteikumu Nr. 624 22. punktu  ir tiesības piekļūt audita datiem  par visiem saviem veiktajiem datu pieprasījumiem. Kārtība, kādā lietotājs var piekļūt audita datiem ir minēta Datu izplatīšanas un pārvaldības platformas programmatūras integrācijas instrukcijā, kas ir pieejama VDAA tīmekļvietnē https://www.vdaa.gov.lv/lv/datu-izplatisanas-un-parvaldibas-platforma.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Regulējuma uzlabošanas nepieciešamību saskata arī tirgus dalībnieki, piemēram, apdrošināšanas komersanti ir pauduši viedokli, ka pastāv valsts reģistru sadrumstalotība  un nepilnības šo reģistru datu bāzēs, proti, informācija jāizgūst no dažādiem reģistriem, piemēram: 1) viens reģistrs sniedz informāciju par saimnieciskās darbības veicēju, savukārt cits par saimnieciskās darbības veidu; 2) politiski nozīmīgu personu gadījumā var iegūt informāciju par pašu personu, bet ne to, kādu uzņēmumu tā pārstāv.</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DAGR piedāvātais risinājums neaizstāj pašreizējo regulējumu un pieeju valsts informācijas sistēmām, jāņem vērā, ka līdz šim Novēršanas likuma subjektiem nebija iespējas iegūt klientu izpētei nepieciešamo informāciju vienuviet jeb ar viena tehniskā risinājuma starpniecību. Tomēr jāņem vērā, ka tām Novēršanas likuma subjektu grupām, kurām šobrīd piekļuve datu devēju informācijas sistēmām ir maksas pakalpojums, šis risinājums nenodrošinās iespēju iegūt informāciju no datu devēju informācijas sistēmām </w:t>
      </w:r>
      <w:r w:rsidR="00000000" w:rsidRPr="00000000" w:rsidDel="00000000">
        <w:rPr>
          <w:u w:val="single"/>
          <w:rtl w:val="0"/>
        </w:rPr>
        <w:t xml:space="preserve">bez maksas</w:t>
      </w:r>
      <w:r w:rsidR="00000000" w:rsidRPr="00000000" w:rsidDel="00000000">
        <w:rPr>
          <w:rtl w:val="0"/>
        </w:rPr>
        <w:t xml:space="preserve">. Savukārt kredītiestādēm un apdrošināšanas komersantiem saskaņā ar Novēršanas likuma 41. panta otro daļu piekļuve datu devēju informācijas sistēmām saglabāsies bez maksas. Vienlaikus jāmin, ka visiem Novēršanas likuma subjektiem informācijas sistēmu integrācija ar DAGR radīs papildu izmaksas (skatīt. anotācijas 2. sadaļu).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subjektiem izmaksas par datu devēju informācijas sistēmu izmantošanu saglabājas esošajā apmērā, kādā to nosaka attiecīgo datu devēju reģistru regulējošie normatīvie akti. Lai arī DAGR izmantošana rada papildu izmaksas uzņēmuma informācijas sistēmu savienojamībai ar DAGR, piedāvātais risinājums neaizstāj esošo regulējumu piekļuvei datu devēju informācijas sistēmām. Noteikumu projekts piedāvā alternatīvu risinājumu ērtākai piekļuvei datu devēju informācijas sistēmām.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3. panta pirmajā daļā minētie likuma subjekti.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Novēršanas likuma subjektiem likumā noteikto pienākumu veikšanai būs iespējams iegūt nepieciešamo informāciju vienuviet jeb ar viena tehniskā risinājuma starpniecību, veicot līdzšinējos datu devēju noteiktos maksājumus, kuru apmēru nosaka attiecīgas informācijas sistēmas izmantošanu regulējošais normatīvais akts.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6"/>
        <w:gridCol w:w="1206"/>
        <w:tblGridChange w:id="0">
          <w:tblGrid>
            <w:gridCol w:w="1205"/>
            <w:gridCol w:w="1205"/>
            <w:gridCol w:w="1205"/>
            <w:gridCol w:w="1205"/>
            <w:gridCol w:w="1205"/>
            <w:gridCol w:w="1205"/>
            <w:gridCol w:w="1206"/>
            <w:gridCol w:w="120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Palielinās/samazinās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Stundas samaksas likme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Laika patēriņš uz vienību - stundās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Subjektu skaits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Cik bieži - reizes gadā</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Administratīvās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Novēršanas likuma 3. panta pirmajā daļā minētie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palielinās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Vērtības nozīme: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6. punkts paredz Novēršanas likuma subjektu tiesības, izmantojot DAGR funkcionalitāti, pieprasīt datus no datu devēju informācijas sistēmām. 
Laika patēriņš pieprasījumam, ņemot vērā  sistēmas funkcionalitāti plānots 1-2 sekundes atkarībā no interneta pieslēguma ātruma.
Noteikumu 1.1.apkšpunkts paredz kārtību izmantot DAGR funkcionalitāti Novēršanas likuma 3. panta pirmajā daļā minētajam subjektu lokam, kas kopumā ir 12 subjektu grupas, kurās ietilpst gan LB, PTAC licencētie finanšu sektora dalībnieki, gan VID uzraudzītais komersantu loks. 
Biežums atkarīgs no lietotāja nepieciešamības veikt izmaiņas pašapkalpošanās portālā attiecībā uz darbiniekiem, kas izmanto DAGR. Savukārt klientu izpētes veikšanai datu devēju informācijas sistēmu izmantošanas biežums atkarīgs no klienta izpētes kritērijiem un ņemot vērā normatīvo aktu prasības.
Ņemot vērā visu iepriekš minēto, kā arī to, ka laika patēriņš ir mērāms sekundēs, administratīvais slogs nav metodiski aprēķināms un nav paredzēts liels.</w:t>
            </w:r>
          </w:p>
        </w:tc>
      </w:tr>
      <w:tr>
        <w:tc>
          <w:tcPr>
            <w:shd w:fill="ffffff"/>
            <w:vAlign w:val="center"/>
            <w:noWrap w:val="true"/>
            <w:gridSpan w:val="6"/>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607"/>
        <w:gridCol w:w="1607"/>
        <w:gridCol w:w="1607"/>
        <w:gridCol w:w="1607"/>
        <w:gridCol w:w="1607"/>
        <w:gridCol w:w="1607"/>
        <w:tblGridChange w:id="0">
          <w:tblGrid>
            <w:gridCol w:w="1607"/>
            <w:gridCol w:w="1607"/>
            <w:gridCol w:w="1607"/>
            <w:gridCol w:w="1607"/>
            <w:gridCol w:w="1607"/>
            <w:gridCol w:w="1607"/>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Sabiedrības grupa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ietekmē?</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Izmaksas par vienību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Vienību skaits</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Atbilstības izmaksas - </w:t>
            </w:r>
            <w:r w:rsidR="00000000" w:rsidRPr="00000000" w:rsidDel="00000000">
              <w:rPr>
                <w:sz w:val="24"/>
                <w:b w:val="1"/>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Aprēķinu skaidrojums</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Juridiskās personas</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 (juridiskās personas)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Novēršanas likuma 3. panta pirmajā daļā minētie likuma subjekti.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Noteikumu projekta 3. punkts paredz, ka lietotājs iegūst informāciju no datu devēju informācijas sistēmām, izmantojot DAGR funkcionalitāti, un piekļuves saņemšanai kļūst par Valsts informācijas resursu, sistēmu un sadarbspējas informācijas sistēmas lietotāju.
Minētais regulējums rada atbilstības prasības Novēršanas likuma subjektiem, kuri plānos izmantot DAGR funkcionalitāti datu pieprasīšanai no datu devēju informācijas sistēmām. Atbilstības prasību izpilde var ietvert:
1) reģistrēšanos VIRSIS un DAGR platformās;
iepazīšanos ar DAGR tehnisko dokumentāciju un integrācijas nosacījumiem;
2) nepieciešamo izmaiņu izvērtēšanu lietotāja informācijas sistēmās;
3) tehnisko specifikāciju vai darba uzdevumu sagatavošanu;
informācijas sistēmu pielāgošanu, integrācijas izstrādi un testēšanu.
Lai izveidotu integrāciju ar DAGR, nav nepieciešams iegādāties programmatūru vai licences, tomēr datu ņēmēja sistēmai jāatbalsta Java programmēšanas valoda un platforma. 
Tehniski integrāciju var veikt šādos veidos: 
1)	datu ņēmēja savienotāja izvietošana datu ņēmēja infrastruktūrā un konfigurēšana – datu ņēmējam pamatā jārēķinās ar izmaksām, kas saistītas ar savienotāja konfigurēšanu katrai datu kopai un savienotāja turpmāko uzturēšanu datu ņēmēja infrastruktūrā. Ja datu ņēmējam ir iekšējā IKT kompetence, t.i. darbinieki ar datubāžu un Java prasmēm, integrācijas izmaksas ir mazākas nekā ārpakalpojuma piesaistes gadījumā.
Papildu informācija: https://wiki.dagr.gov.lv/lv/ii-izgusana#datu-izg%C5%AB%C5%A1ana-ar-datu-sa%C5%86%C4%93m%C4%93ja-savienot%C4%81ju  
2)	specializētas programmatūras un pakalpju (servisu), kas izsauc REST pieprasījumus DAGR, izstrāde –  izmantojama gadījumos, kad datu ņēmēja vajadzībām nepieciešams pielāgots risinājums, tomēr šajā gadījumā jārēķinās ar lielāku resursu nepieciešamību nekā datu ņēmēja savienotāja izvietošanas gadījumā. 
Papildu informācija: https://wiki.dagr.gov.lv/lv/ii-izgusana 
Vienlaikus precīzu atbilstības izmaksu monetāru novērtējumu šobrīd nav iespējams veikt, jo izmaksu apmērs būs atkarīgs no konkrētā lietotāja izvēlētā DAGR izmantošanas apjoma, esošās informācijas tehnoloģiju infrastruktūras, nepieciešamajiem sistēmu pielāgojumiem un integrācijas sarežģītības pakāpes. Tāpat noteikumu projekts attiecas uz plašu un neviendabīgu subjektu loku, kurā ietilpst gan finanšu sektora dalībnieki, gan citi Novēršanas likuma subjekti ar atšķirīgu darbības modeli un tehnoloģisko gatavību.
Saskaņā ar VDAA sniegto informāciju līdzšinējā pieredze valsts iestāžu pieslēgšanā DAGR risinājumam liecina, ka integrācijas izmaksas vienai iestādei var sasniegt aptuveni 10 000–20 000 euro, tomēr privātā sektora subjektiem izmaksas var būtiski atšķirties atkarībā no konkrētā tehniskā risinājuma un nepieciešamā funkcionalitātes apjoma. Vienlaikus jāņem vērā, ka prognozētajās izmaksās netiek iekļautas iespējamās izmaksas, kas saistītas ar datu turpmāku izmantošanu datu ņēmēja biznesa procesos un tiem atbilstošu IKT risinājumu pielāgošanu, t.i., DAGR nodrošinās pašu datu saņemšanu, bet to tālākās izmantošanas un apstrādes izmaksas jāizvērtē katram datu ņēmējam atbilstoši tā vajadzībām.</w:t>
            </w:r>
          </w:p>
        </w:tc>
      </w:tr>
      <w:tr>
        <w:tc>
          <w:tcPr>
            <w:shd w:fill="ffffff"/>
            <w:vAlign w:val="center"/>
            <w:noWrap w:val="true"/>
            <w:gridSpan w:val="4"/>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Ministru kabineta rīkojums Nr. 400, Rīgā 2023. gada 27. jūnijā (prot. Nr. 34 51. §).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Noziedzīgi iegūtu līdzekļu legalizācijas un terorisma un proliferācijas finansēšanas novēršanas likums; Valsts informācijas sistēmu likums; Ministru kabineta noteikumi Nr. 624; Ministru kabineta noteikumi Nr.89 “Valsts informācijas resursu, sistēmu un sadarbspējas informācijas sistēmas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2027. gada 1. februāra piekļuve Valsts ieņēmumu dienesta uzturētajam politiski nozīmīgu personu reģistram tiks nodrošināta tikai datu izplatīšanas tīklā (DIT) un DAGR, savukārt līdzšinējā valsts informācijas sistēmu savietotāja (VISS) API Pārvaldniekā reģistrētā servisa API-FM_VID1-CheckPEPStatus darbība gan testa, gan produkcijas vidē tiks apturēta. Līdz ar to būs nepieciešams veikt grozījumus Ministru kabineta 2019. gada 27. augusta noteikumos Nr. 406 “Noteikumi par informācijas apjomu, ko sniedz Valsts ieņēmumu dienests par politiski nozīmīgām personām, un tās pieprasīšanas, izsniegšanas un glabāšanas kārtību” izslēdzot 2.2.1. apakšpunktu.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02024R1624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Nr. 2024/1624 (2024. gada 31. maijs) par to, lai nepieļautu finanšu sistēmas izmantošanu nelikumīgi iegūtu līdzekļu legalizēšanai un teroristu finansēšanai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transponēts Eiropas Parlamenta un Padomes Regulas Nr. 2024/1624 (2024. gada 31. maijs) par to, lai nepieļautu finanšu sistēmas izmantošanu nelikumīgi iegūtu līdzekļu legalizēšanai un teroristu finansēšanai 22. panta 1. punkta "a"apakšpunkta "ii"punkts.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Nr. 2024/1624 (2024. gada 31. maijs) par to, lai nepieļautu finanšu sistēmas izmantošanu nelikumīgi iegūtu līdzekļu legalizēšanai un teroristu finansēšanai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panta 1. punkta "a" apakšpunkta "ii"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8.5.10.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2024/1624 22. pants paredz atbildīgā subjekta pienākumu veikt klienta un patiesā labuma guvēja identifikāciju un pārbaudi, līdz ar to ar Noteikumu projekta 8.5.10. apakšpunktu pilnībā tiek pārņemta minētā panta 1. punkta "a" apakšpunkta "ii" punkta prasība, paplašinot no Fizisko personu reģistra iegūstamās informācijas apjomu un nodrošinot veiktās identifikācijas un pārbaudes atbilstību Regulas 2024/1624 prasībām.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 Viedās administrācijas un reģionālās attīstības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https://tapportals.mk.gov.lv/public_participation/44140505-06d3-49a2-aa20-3464fc9d7be9</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2026. gada 14. augustā saņemts Elektroniskās naudas asociācijas (</w:t>
      </w:r>
      <w:r w:rsidR="00000000" w:rsidRPr="00000000" w:rsidDel="00000000">
        <w:rPr>
          <w:i w:val="1"/>
          <w:rtl w:val="0"/>
        </w:rPr>
        <w:t xml:space="preserve">Electronic Money Association</w:t>
      </w:r>
      <w:r w:rsidR="00000000" w:rsidRPr="00000000" w:rsidDel="00000000">
        <w:rPr>
          <w:rtl w:val="0"/>
        </w:rPr>
        <w:t xml:space="preserve">) viedoklis, aicinot nodrošināt piekļuvi DAGR citās Eiropas Savienības dalībvalstī licencētām iestādēm, kas Maksājumu pakalpojumu un elektroniskās naudas likuma 31. pantā noteiktajā kārtībā uzsākušas darbību Latvijā.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digitālās attīstības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paplašināti VDAA uzdevumi attiecībā uz Novēršanas likuma 3. panta pirmajā daļā minēto likuma subjektu kā DAGR lietotāju atbilstības novērtējumu.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paredzētā piekļuve datu kopām ir daļa no DAGR projekta (apstiprināts ar 2023. gada 27. jūnija Ministru kabineta rīkojumu Nr. 400 (prot. Nr. 34 51. §), kura ietekme tika vērtēta plašāk (skatīt, https://tapportals.mk.gov.lv/annotation/01baf8b0-3489-4863-b48a-7c85fb37197c).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paredzētā piekļuve datu kopām ir daļa no DAGR projekta (apstiprināts ar 2023. gada 27. jūnija Ministru kabineta rīkojumu Nr. 400 (prot. Nr. 34 51. §), kura ietekme tika vērtēta plašāk (skatīt, https://tapportals.mk.gov.lv/annotation/01baf8b0-3489-4863-b48a-7c85fb37197c).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VDAA un datu devēju atbildība par personu datu apstrādi ir nodalīta saskaņā ar Ministru kabineta 2015.gada 28.jūlija noteikumu Nr. 442 “Kārtība, kādā tiek nodrošināta informācijas un komunikācijas tehnoloģiju sistēmu atbilstība minimālajām drošības prasībām” 15.10. un 15.11. apakšpunktiem un 2023. gada 31.oktobra Ministru kabineta noteikumiem Nr. 624 "Datu izplatīšanas un pārvaldības platformas noteikumi",  Noteikumu projekts paredz Novēršanas likuma subjektu atbildību par datu glabāšanu atbilstoši fizisku  personu datu apstrādi regulējošiem normatīvajiem aktiem, kā arī Valsts informācijas sistēmu likuma un uz tā pamata izdoto Ministru kabineta noteikumu noteiktajai kārtībai. Atbilstoši VDAA izstrādātajai Programmatūras integrācijas instrukcijai "Datu izplatīšanas un pārvaldības platforma (DAGR)"  (Projekts Nr. VRAA/2023/113 VERSIJA 1.27) DAGR nodrošina iespēju datu patērētāju informācijas sistēmās veikto personu datu izmantošanas (atbilstoši Vispārējās datu aizsardzības regulas prasībām) žurnālpierakstus nodot uz DAGR, lai tos tālāk padarītu pieejamus Latvijas iedzīvotājiem Latvija.lv portālā.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26-TA-976</w:t>
    </w:r>
    <w:r>
      <w:br/>
    </w:r>
    <w:r w:rsidR="00000000" w:rsidRPr="00000000" w:rsidDel="00000000">
      <w:rPr>
        <w:rtl w:val="0"/>
      </w:rPr>
      <w:t xml:space="preserve">Izdrukāts 21.08.2026. 15.45 - 2.0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26-TA-976</w:t>
    </w:r>
    <w:r>
      <w:br/>
    </w:r>
    <w:r w:rsidR="00000000" w:rsidRPr="00000000" w:rsidDel="00000000">
      <w:rPr>
        <w:rtl w:val="0"/>
      </w:rPr>
      <w:t xml:space="preserve">Izdrukāts 21.08.2026. 15.45 - 2.0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anotācija_(ex_ante)_26-TA-976.docx</dc:title>
</cp:coreProperties>
</file>

<file path=docProps/custom.xml><?xml version="1.0" encoding="utf-8"?>
<Properties xmlns="http://schemas.openxmlformats.org/officeDocument/2006/custom-properties" xmlns:vt="http://schemas.openxmlformats.org/officeDocument/2006/docPropsVTypes"/>
</file>