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un Eiropas Savienības fondu 2021. — 2027. gada plānošanas perioda vadības likuma 19. panta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Eiropas Savienības fondu 2021. - 2027. gada plānošanas perioda vadības likuma 19. panta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 ir viena no prioritārajām pakalpojumu jomām valstī. Tās ietekme uz sabiedrību, valsts demogrāfisko situāciju un attīstību, kā arī katru indivīdu atsevišķi ir ļoti liela. Ieguldījumi veselībā un veselības aprūpē ir ieguldījumi valsts attīstībā, tomēr Latvijā līdzšinējais valsts finansējums veselības aprūpē ir bijis nepietiekams un ilgstoši viens no zemākajiem Eiropas Savienībā (turpmāk – ES). Ekonomiskās sadarbības un attīstības organizācija jeb OECD (angliski – Organisation for Economic Co-operation and Development), raksturojot Latvijas veselības profilu, uzsver, ka lai gan Latvijā pēdējos gados publiskais finansējums veselības aprūpei ir nedaudz pieaudzis, kopējais finansējums sistēmai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apstākļu rezultātā Latvijā ir ļoti augsti un vieni no sliktākajiem ES saslimstības un mirstības un veselības aprūpes kvalitātes rādītājiem, kā arī ļoti augsta priekšlaicīgā mirstība.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sistēmas slimības ir galvenais mirstības cēlonis Latvijā, kā arī galvenais priekšlaicīgas mirstības (līdz 64 g.v.) cēlonis. 25% no visiem sirds un asinsvadu sistēmas nāves gadījumiem Latvijā var novērst. No tiem 51% ir medicīniski novēršami (savlaicīga diagnostika, kvalitatīva aprūpe, atbilstoša ārstēšana) un 49% – profilaktiski novēršami (veicinot veselīgu dzīvesveidu, attīstot savlaicīgu riska faktoru atklāšanu un to ietekmes mazināšanu). Akūtās sirds un asinsvadu sistēmas slimību veselības aprūpes kvalitāti raksturojošie rādītāji Latvijā ir vieni no sliktākajiem OECD valstu vidū, turklāt šiem rādītājiem ir būtiskas atšķirības arī stacionāru griezumā, kas norāda uz atšķirībām veselības aprūpes saņemšanas iespējās. Lai uzlabotu pakalpojumu kvalitāti sirds un asinsvadu sistēmas slimību jomā, nepieciešami veicināt savlaicīgu slimību diagnostiku un ārstēšanas uzsākšanu, risināt stacionārās aprūpes kvalitātes jautājumus, kā arī uzlabot pakalpojumu pēctecību pēc stacionārās ārstēšanas.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Onkoloģiskās slimības ir starp izplatītākajām hroniskajām slimībām un ir otrs biežākais nāves iemesls Latvijā. Ņemot vērā onkoloģisko slimību lielo ietekmi, onkoloģija veselības nozarē ir noteikta kā viena no veselības aprūpes jomas prioritātēm, kurā jāveic sistēmiskas izmaiņas un jānodrošina kvalitatīva menedžmenta izveide. Lai mazinātu onkoloģisko slimību negatīvo ietekmi uz indivīda veselību un dzīves kvalitāti, būtiska ir onkoloģisko slimību riska faktoru mazināšana, agrīna diagnostiska, savlaicīga un efektīva ārstēšana un atbilstoša dinamiskā novērošana.</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Sabiedrības veselības pamatnostādnes 2021.–2027. gadam, https://likumi.lv/ta/id/332751-sabiedribas-veselibas-pamatnostadnes-2021-2027-gadam.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veselības aprūpes kvalitāti un pieejamību, ir nepieciešams nodrošināt atbalstu izmaiņām veselības aprūpes sniegtajos pakalpojumos, uzlabojot to efektivitāti noteiktās pakalpojumu jomās visos aprūpes līmeņos (t.sk. primārajā, sekundārajā ambulatorajā un stacionārajā).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4.1.1.1.pasākuma ceturtās kārtas ietvaros plānoti ieguldījumi veselības jomā sekundāro ambulatoro pakalpojumu sniedzēju veselības aprūpes infrastruktūras stiprināšanai onkoloģijas jomā un sirds un asinsvadu sistēmas slimību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tiks īstenota “Eiropas Savienības kohēzijas politikas programmas 2021. – 2027. gadam” (turpmāk – Programma) 4.1.1. specifiskā atbalsta mērķa "Nodrošināt vienlīdzīgu piekļuvi veselības aprūpei un stiprināt veselības sistēmu, tostarp primārās veselības aprūpes noturību" (turpmāk – SAM) 4.1.1.1. pasākuma "Ārstniecības iestāžu infrastruktūras attīstība" ceturtā kārta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un pieejamais kopējais finansējums ir 4 812 877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4 090 945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ir 721 932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18. un 86. pantā noteikto 4.1.1. SAM elastības finansējums tiek noteikts 4.1.1.2.</w:t>
      </w:r>
      <w:r w:rsidR="00000000" w:rsidRPr="00000000" w:rsidDel="00000000">
        <w:rPr>
          <w:vertAlign w:val="superscript"/>
          <w:rtl w:val="0"/>
        </w:rPr>
        <w:t xml:space="preserve">[1]</w:t>
      </w:r>
      <w:r w:rsidR="00000000" w:rsidRPr="00000000" w:rsidDel="00000000">
        <w:rPr>
          <w:rtl w:val="0"/>
        </w:rPr>
        <w:t xml:space="preserve"> un 4.1.1.4.</w:t>
      </w:r>
      <w:r w:rsidR="00000000" w:rsidRPr="00000000" w:rsidDel="00000000">
        <w:rPr>
          <w:vertAlign w:val="superscript"/>
          <w:rtl w:val="0"/>
        </w:rPr>
        <w:t xml:space="preserve">[2]</w:t>
      </w:r>
      <w:r w:rsidR="00000000" w:rsidRPr="00000000" w:rsidDel="00000000">
        <w:rPr>
          <w:rtl w:val="0"/>
        </w:rPr>
        <w:t xml:space="preserve"> pasākuma ietvaros, attiecīgi 4.1.1.2. un 4.1.1.4. pasākumam noteikts pieejamais un plānotais finansējums. Veselības ministrija kā atbildīgā iestāde (turpmāk – atbildīgā iestāde), pēc Eiropas Komisijas (turpmāk – EK) lēmuma par vidusposma pārskatu, var ierosināt palielināt 4.1.1.2. un 4.1.1.4. pasākumam pieejamo kopējo finansējumu līdz plānotajam kopējam finansējuma apmēram.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5"/>
        <w:gridCol w:w="4888"/>
        <w:gridCol w:w="1593"/>
        <w:gridCol w:w="1603"/>
        <w:tblGridChange w:id="0">
          <w:tblGrid>
            <w:gridCol w:w="955"/>
            <w:gridCol w:w="4888"/>
            <w:gridCol w:w="1593"/>
            <w:gridCol w:w="16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(ieskaitot elastības finansējumu),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(BEZ elastības finansējuma),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 (1. - 5.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163 345 800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163 345 800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70 799 482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31 119 533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Primārās veselības aprūpes lomas stiprināšana, attīstot infrastruktūru (1.-2.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aprūpes pārvaldības sistēmas stiprināšana un digitalizācija, attīstot digitālos risinājumus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21 357 724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17 989 071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10 461 001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10 461 001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pasākuma ietvaros atbalsts tika paredzēts infrastruktūras attīstībai valsts apmaksāto sekundāro veselības aprūpes pakalpojumu sniedzējiem atklātas projektu iesniegumu atlases ietvaros, kuras ietvaros būtu jāuzaicina iesniegt projekta pieteikumus visas konkrētā parametra ārstniecības iestādes. Nacionālais veselības dienests slēdz līgumus par valsts apmaksāto sekundāro ambulatoro veselības aprūpi ārpus slimnīcu loka ar vairāk kā 300 līgumpartneriem, kas ir dažādas valsts un privātas ārstniecības iestādes. Ņemot vērā faktu, ka ES fonda atbalsta finansējums ir ierobežots, proti tikai 4,8 milj. </w:t>
      </w:r>
      <w:r w:rsidR="00000000" w:rsidRPr="00000000" w:rsidDel="00000000">
        <w:rPr>
          <w:i w:val="1"/>
          <w:rtl w:val="0"/>
        </w:rPr>
        <w:t xml:space="preserve">euro</w:t>
      </w:r>
      <w:r w:rsidR="00000000" w:rsidRPr="00000000" w:rsidDel="00000000">
        <w:rPr>
          <w:rtl w:val="0"/>
        </w:rPr>
        <w:t xml:space="preserve">, kas uz tādu projektu iesniedzēju daudzumu būtu neefektīvs un resursu ietilpīgs gan projektu iesniedzējiem, gan vērtētājiem, VM praktiski veic sava veida priekšatlasi un sašaurina projektu iesniedzēju loku ar finansējuma saņēmēja noteikšanas parametriem - vadoties pēc cēloņiem, kas nosaka augstos mirstības rādītājus, un attiecīgajām nozares prioritātēm. Anotācijas 1.3. punktā pie situācijas apraksta ir norāde un plašāks skaidrojums no Sabiedrības veselības pamatnostādnēm par sirds un asinsvadu sistēmas slimības un onkoloģijas slimībām kā galvenajiem mirstības cēloņiem Latvijā. Vienlaikus jāņem vērā, ka iepriekš minētās jomas šajā normatīvajā dokumentā netiek definētas kā prioritārās jomas, bet gan kā nozares prioritātes, kas nosaka augstos mirstības rādītājus un tāpēc šīs jomas ir izvēlētas kā finansējuma saņēmēju parametrs.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pasākuma ietvaros finansējuma saņēmēji noteikti noteikumu pielikumā saskaņā ar Ministru kabineta 2018. gada 28. augusta noteikumiem Nr. 555 “Veselības aprūpes pakalpojumu organizēšanas un samaksas kārtība” (turpmāk - MK noteikumi Nr.555) un tās ir ārstniecības iestādes, kas sniedz valsts apmaksātos veselības aprūpes diagnostiskos izmeklējumus sirds un asinsvadu jomā (turpmāk – SAS) un/vai pēcskrīninga izmeklējumus onkoloģijas jomā un kurām unikālo pacientu skaits atbalstāmajās programmās ir vismaz 500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saņēmēju saraksts noteikts, pamatojoties uz valsts apmaksāto ambulatoro kvotēto SAS programmu un nekvotētās “zarnu vēža pēcskrīnings” programmas skaitu attiecīgajai iestādei (kritērija svars - 50%) un unikālo pacientu skaitu iepriekšējā gadā (kritērija svars - 50%), izmantojot Nacionālā veselības dienesta datus par 2023. gadu. Minētie dati un to izmantošanas algoritms izmantoti, lai noteiktu caurspīdīgu un godīgu finansējuma saņēmēju loku un finansējuma sadalījumu, kuri ir fiksēti un kurus nav paredzēts mainīt atbilstoši aktuālajai situācijai. Atbalsta saņēmēju lokā tika iekļautas ārstniecības iestādes, kam unikālo pacientu skaits ir vismaz 500 pacienti vienā vai vairākās programmās no šādām valsts apmaksāto ambulatoro kvotēto vai nekvotēto programmām – “doplerogrāfija”, “elektrokardiogrāfija”, “invazīvā kardioloģija dienas stacionārā”, “kardioloģija”, “neiroelektrofizioloģiskie funkcionālie izmeklējumi”, “pārējie sirds asinsvadu sistēmas funkcionālie izmeklējumi” un “zarnu vēža pēcskrīnings” un kam nav sniegts atbalsts citās Programmas specifiskā atbalsta mērķa 4.1.1.1. pasākuma "Ārstniecības iestāžu infrastruktūras attīstība" atlases kārtās. Atbilstoši minētajiem nosacījumiem atbilstošie finansējuma saņēmēji ir noteikti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finansējuma saņēmējs nodrošina pasākuma ietvaros piešķirtā finansējuma izlietošanu atbilstoši nosacījumiem un termiņiem,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horizontālā principa "Vienlīdzība, iekļaušana, nediskriminācija un pamattiesību ievērošana" īstenošanu, datu uzkrāšanu par faktiski sasniegto SAM rādītāju, datu ticamību un izsekojamību, kā arī citu ES fondu līdzfinansēto projektu ieviesējiem saistošo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komercdarbības atbalsta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sasniegto rezultātu ilgtspēju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komunikācijas un vizuālās identitātes publicitātes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robežās veic publiskos iepirkumus sociāli atbildīgā veidā un vides prasību un inovatīva risinājuma integrēšanu preču un pakalpojuma iepirkumos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līgumu noteiktā kārtībā atmaksā pasākuma ietvaros piešķirto finansējumu, ja tas nav izlietots atbilstoši līgumā noteiktajiem nosacījumiem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sniegt atbalstu 47 ārstniecības iestādēm sekundārās ambulatorās veselības aprūpes infrastruktūras attīstības vajadzību nodrošināšanai, atbalstot atjaunošanas, pārbūves būvdarbus un medicīnisko tehnoloģiju, iekārtu un ierīču iegādi prioritāri sirds un asinsvadu un / vai pēcskrīninga izmeklējumus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SAM ietvaros pārējām MK noteikumos Nr. 555 noteiktajām ārstniecības iestādēm, tiks noteikts atsevišķā regulējumā, ievērojot Nacionālajā attīstības plānā 2021. – 2027. gadam (https://likumi.lv/ta/id/315879-par-latvijas-nacionalo-attistibas-planu-20212027-gadam-nap2027) un infrastruktūras investīciju stratēģijā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73"/>
        <w:gridCol w:w="6483"/>
        <w:gridCol w:w="2134"/>
        <w:tblGridChange w:id="0">
          <w:tblGrid>
            <w:gridCol w:w="573"/>
            <w:gridCol w:w="6483"/>
            <w:gridCol w:w="213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Infrastruktūras investīciju stratēģijā plānotais finansējums,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 pasākuma "Ārstniecības iestāžu infrastruktūras attīstība" 1 .- 5. kārta KOPĀ,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192 171 532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1. kārta (IV - V līmeņa un Valsts tiesu medicīnas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82 767 751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2. kārta (I - III līmeņa un pārējās slimnīcas)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15 089 807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3. kārta (Psihiatrijas profila 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7 957 886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4. kārta (Sekundāro ambulatoro veselības aprūpes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4 812 877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4.1.1.1. pasākuma "Ārstniecības iestāžu infrastruktūras attīstība" 5. kārta (Divu posmu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81 543 211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 pasākums "P.Stradiņa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83 293 509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 pasākums "Primārās veselības aprūpes lomas stiprināšana, attīstot infrastruktūru"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4.1.1.3. pasākums "Primārās veselības aprūpes lomas stiprināšana, attīstot infrastruktūru" 1.kārta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2 400 000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4.1.1.3. pasākums "Primārās veselības aprūpes lomas stiprināšana, attīstot infrastruktūru" 2.kārta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5 800 000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 pasākums "Neatliekamās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12 307 060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 SAM ietvaros plānotais finansējums, izņemot 4.1.1.4. pasākumu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295 972 101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(Centrālā finanšu un līgumu aģentūra) pasākuma projektu iesniegumu atlases ietvaros organizē ierobežotu projektu iesniegumu atlasi, uzaicinot tajā piedalīties noteikumu projekta pielikumā minētos projektu iesniedzējus. Projekta iesniedzējs pasākuma ietvaros var iesniegt tikai vienu projekta iesniegumu par visu projekta iesniedzējam pieejamo finansējumu. Gadījumā, ja nepieteiksies kāds no pielikumā minētajiem projektu iesniedzējiem un sadarbības iestādes organizētajā projektu iesniegumu atlasē netiks apstiprināti projektu iesniegumi par visu pasākuma ietvaros pieejamo finansējumu, tad, atbildīgā iestāde var lemt par neizmantotā finansējuma atlikuma novirzīšanas iespējām, tai skaitā izskatot finansējuma atlikuma novirzi jaunai projektu iesniegumu atlasei, attiecīgi veicot grozījumus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nevar pretendēt uz finansējumu, ja tas ir grūtībās nonācis uzņēmums atbilstoši Komisijas 2014. gada 17. jūnija Regulas (ES) Nr. 651/2014, ar ko noteiktas atbalsta kategorijas atzīst par saderīgām ar iekšējo tirgu, piemērojot Līguma 107. un 108. pantu, 2. panta 18. punktā minētajiem nosacījumiem. Grūtībās nonākuša uzņēmuma pazīmes vērtē projekta iesniedzējam individuāli un tā saistīto personu grupai (ja attiecināms) saskaņā ar Komisijas regulas Nr.651/2014 I pielikuma 3. panta 3. punktā definēto un balstoties uz Komisijas lietotāja rokasgrāmatā par MVU</w:t>
      </w:r>
      <w:r w:rsidR="00000000" w:rsidRPr="00000000" w:rsidDel="00000000">
        <w:rPr>
          <w:vertAlign w:val="superscript"/>
          <w:rtl w:val="0"/>
        </w:rPr>
        <w:t xml:space="preserve">[3]</w:t>
      </w:r>
      <w:r w:rsidR="00000000" w:rsidRPr="00000000" w:rsidDel="00000000">
        <w:rPr>
          <w:rtl w:val="0"/>
        </w:rPr>
        <w:t xml:space="preserve"> definīcijas piemērošanu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mērķis</w:t>
      </w:r>
      <w:r w:rsidR="00000000" w:rsidRPr="00000000" w:rsidDel="00000000">
        <w:rPr>
          <w:rtl w:val="0"/>
        </w:rPr>
        <w:t xml:space="preserve"> ir nodrošināt vienlīdzīgu piekļuvi veselības aprūpei un stiprināt veselības sistēmu, attīstot valsts apmaksātās sekundārās ambulatorās veselības aprūpes pakalpojumu sniedzēju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mērķa grupa</w:t>
      </w:r>
      <w:r w:rsidR="00000000" w:rsidRPr="00000000" w:rsidDel="00000000">
        <w:rPr>
          <w:rtl w:val="0"/>
        </w:rPr>
        <w:t xml:space="preserve"> ir visi Latvijas iedzīvotāji, veselības aprūpes pakalpojumu sniedzēji un ārstniecības iestādes, kas sniedz valsts apmaksātos veselības aprūpes diagnostiskos izmeklējumus sirds un asinsvadu jomā un/vai pēcskrīninga izmeklējumus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Sasniedzamie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rezultāta rādītājs – personu skaits gadā, kuras izmanto jaunu vai modernizētu veselības aprūpes iestāžu pakalpojumus, nodrošinot, ka līdz 2029. gada 31. decembrim jaunu vai modernizētu veselības aprūpes iestāžu pakalpojumus izmanto 3 878 460 personas gadā, tai skaitā pasākuma ietvaros – 77 991 persona gadā. Šī rādītāja izpildē ir ieskaitāmas personas, kuras apmeklējušas modernizētās veselības aprūpes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Pasākums veicina 4.1.1.1. pasākuma “Ārstniecības iestāžu infrastruktūras attīstība” visu kārtu ietvaros kopējā iznākuma rādītāja "jaunu vai modernizētu veselības aprūpes iestāžu kapacitāte” sasniegšanu, nodrošinot, ka līdz 2029. gada 31. decembrim izveidotās vai uzlabotās veselības aprūpes iestādes vismaz vienu reizi gada laikā apmeklēs 3 687 497 iedzīvotāji, tai skaitā pasākuma ietvaros – 85 790 personas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Pasākums veicina 4.1.1.1. pasākuma “Ārstniecības iestāžu infrastruktūras attīstība” visu kārtu ietvaros kopējā iznākuma rādītāja “noslēgto līgumu īpatsvars par ieguldījumiem veselības aprūpes infrastruktūras objektos”, t.sk.  pasākuma ietvaros nodrošinot, ka līdz 2029. gada 31. decembrim noslēgti līgumi 100 procentu apmērā no specifiskā atbalsta mērķim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128 “Veselības aprūpes infrastruktūra” – ERAF finansējums 654 551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129 “Veselības aprūpes iekārtas” - ERAF finansējums 818 189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44 “Publiskās infrastruktūras atjaunošana energoefektivitātes uzlabošanai vai energoefektivitātes pasākumi, demonstrējuma projekti un atbalsta pasākumi” - ERAF finansējums 2 618 205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4 090 945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4 090 945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“Eiropas pusgadā apzināto problēmu risināšana” - ERAF finansējums 4 090 945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4 090 945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projektu iesniegumu atlasi īsteno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atbildīgās iestādes funkcijas pilda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iesniedzējam komercdarbības atbalsts tiek sniegts saskaņā ar 2011. gada 20. decembra Komisijas lēmumu 2012/21/ES par Līguma par ES darbību 106. panta 2. punkta piemērošanu valsts atbalstam attiecībā uz kompensāciju par sabiedriskajiem pakalpojumiem dažiem uzņēmumiem, kuriem uzticēts sniegt pakalpojumus ar vispārēju tautsaimniecisku nozīmi (turpmāk – VTNP) (turpmāk – Eiropas Komisijas lēmums Nr. 2012/21/ES).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VTNP un Eiropas Komisijas lēmuma Nr.2012/21/ES galvenais deleģētājs ir Nacionālais veselības dienests (turpmāk – pilnvarojuma uzlicējs), kurš Veselības ministrijas vārdā slēdz līgumus par valsts apmaksāto veselības aprūpes VTNP pakalpojumu īstenošanu un nodrošina VTNP un Eiropas Komisijas lēmuma Nr. 2012/21/ES prasību ievērošanu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atbilstoši normatīvajiem aktiem par veselības aprūpes organizēšanas un samaksas kārtību ir noslēdzis ar Nacionālo veselības dienestu deleģēšanas līgumu par valsts apmaksātajiem ambulatorajiem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komercdarbības atbalsta piešķiršanas dienu ir uzskatāma diena, kad sadarbības iestāde sniedz lēmumu par projekta apstiprināšanu vai sniedz atzinumu par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Eiropas Komisijas lēmuma Nr.2012/21/ES nosacījumu ievērošanas kontroli un uzraudzību nodrošina 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uzlicējam un finansējuma saņēmējam ir pienākums dokumentāciju par saņemto komercdarbības atbalstu glabāt 10 gadus no pilnvarojuma termiņa beigām, savukārt nozares ministrijai, kas nav pilnvarojuma uzlicējs, bet piešķir komercdarbības atbalstu saskaņā ar šīs nodaļas prasībām, ir pienākums dokumentāciju, kas saistīta ar komercdarbības atbalsta piešķiršanu, glabāt 10 gadus no komercdarbības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ka atbalstāmo darbību ietvaros ir attiecināmas ļoti dažādas gan ar būvniecību, gan tehnoloģiju iegādi, piegādi un montāžu saistītas izmaksas, kuras attiecināmas uz konkrētu ārstniecības iestādes infrastruktūras struktūrvienību, kā arī ārstniecības iestādes savā starpā atšķiras ar sniegto pakalpojumu apjomu, līmeni un ārstniecības profilu, nav iespējams izstrādāt un piemērot vienkāršotās izmaksas. Nākotnē, ja par būvniecību kompetentās iestādes sadarbībā ar sadarbības iestādi un / vai Finanšu ministriju izstrādās, piemēram, horizontālas vienas vienības izmaksas būvdarbiem, Veselības ministrija varētu izvērtēt šādu vienkāršoto izmaksu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atbalsts piešķirams tikai infrastruktūras, kurā tiek nodrošināti valsts apmaksātie veselības aprūpes pakalpojumi, attīstībai, tādejādi finansējuma saņēmējam ir pienākums aprēķināt infrastruktūras izmantošanas atbalstāmo darbību proporciju valsts apmaksāto veselības aprūpes pakalpojumu sniegšanai un citu darbību veikšanai (turpmāk - infrastruktūras izmantošanas proporcija) un piemērot to projekta finansējumam, nosakot publiskā un privātā finansējuma apmēru. Proporcionāli infrastruktūras izmantošanai citiem mērķiem (maksas pakalpojumiem) paredzēts piesaistīt pašu privāto līdzfinansējumu, tādejādi nodrošinot godīgu konkurenci un neietekmējot tirgus dalībniekus, ar to, ka publiska nauda tiek dota ne tikai valsts apmaksātu (publisku) veselības aprūpes pakalpojumu sniegšanai, bet arī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izmantošanas proporcijas aprēķina metodiku izstrādā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infrastruktūras izmantošanas proporcijas aprēķinu iesniedz sadarbības iestādei, iesniedzot projekta iesniegumu un iesniedzot projekta noslēguma maksājuma pieprasījumu. Projektu iesniegumu vērtēšanas posmā infrastruktūras izmantošanas proporcijas aprēķina pārbaudi pret atbildīgās iestādes izstrādāto infrastruktūras izmantošanas proporcijas aprēķina metodiku veic projektu iesniegumu vērtēšanai sadarbības iestādes izveidotā projektu iesniegumu vērtēšanas komisija, kuras sastāvā tiek iekļauts/i pārstāvis/ji no atbildīgās iestādes, kuras pārziņā ir attiecīgais specifiskā atbalsta mērķis, un pārstāvis/ji no Veselības ministrijas kā nozares pārstāvis/ji, kā arī pārstāvis/ji no Nacionālā veselības dienesta. Infrastruktūras izmantošanas proporcijas piemērošanu uzrauga komercdarbības atbalsta sniedzējs - sadarbības iestāde, līdz ar to, projekta noslēguma maksājuma pieprasījuma izskatīšanas brīdī iepriekš minēto pārbaudi veic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līguma par projekta īstenošanu noslēgšanas palielinās projekta publisko izmaksu maksimālais apmērs, atbalsta sniedzējs kopējās publiskās projekta attiecināmās izmaksas nepalielina. Finansējuma saņēmējs, iesniedzot projekta noslēguma maksājuma pieprasījumu, nodrošina, ka aprēķinātais projekta kopējais publisko izmaksu maksimālais apmērs atbilst piešķirtajam kopējam publisko izmaksu maksimālajam apmēram, palielinot šo noteikumu noteikto privāto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ERAF finansējuma un valsts budžeta līdzfinansējuma kopsummas, ievērojot, ka avansu var izmaksāt vairākos maksājumos un avansa un starpposma maksājumu kopsumma nepārsniedz 90 procentus no projektam piešķirtā ERAF finansējuma apmēra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infrastruktūras, kurā tiek nodrošināti valsts apmaksāti ambulatorie sekundārie veselības aprūpes pakalpojumi, attīstības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iegāde, piegāde un montāža;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lielākā daļa projektu ir plānoti zem 200 000 </w:t>
      </w:r>
      <w:r w:rsidR="00000000" w:rsidRPr="00000000" w:rsidDel="00000000">
        <w:rPr>
          <w:i w:val="1"/>
          <w:rtl w:val="0"/>
        </w:rPr>
        <w:t xml:space="preserve">euro</w:t>
      </w:r>
      <w:r w:rsidR="00000000" w:rsidRPr="00000000" w:rsidDel="00000000">
        <w:rPr>
          <w:rtl w:val="0"/>
        </w:rPr>
        <w:t xml:space="preserve"> un saskaņā ar Regulas 1060/2021 53.panta 2.puktu, projekti,  kas saņem atbalstu no ERAF, ESF+ vai TPF un kuru kopējās attiecināmās izmaksas nepārsniedz 200 000 </w:t>
      </w:r>
      <w:r w:rsidR="00000000" w:rsidRPr="00000000" w:rsidDel="00000000">
        <w:rPr>
          <w:i w:val="1"/>
          <w:rtl w:val="0"/>
        </w:rPr>
        <w:t xml:space="preserve">euro</w:t>
      </w:r>
      <w:r w:rsidR="00000000" w:rsidRPr="00000000" w:rsidDel="00000000">
        <w:rPr>
          <w:rtl w:val="0"/>
        </w:rPr>
        <w:t xml:space="preserve">, visām izmaksām būtu jāpiemēro vienkāršotās izmaksas, minētās prasības nav attiecināmas, jo visām darbībām ir piemērojams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izmaksas netiek plānotas, ņemot vērā pasākuma mērķi – pakalpojuma pieejamība caur ieguldījumiem infrastruktūrā – un definēto finansējuma saņēmēju skaitu un tiem pieejamo finansējumu. Aptuveni pusei no 47 finansējuma saņēmējiem pieejamais finansējums ir līdz 30 tūkst. </w:t>
      </w:r>
      <w:r w:rsidR="00000000" w:rsidRPr="00000000" w:rsidDel="00000000">
        <w:rPr>
          <w:i w:val="1"/>
          <w:rtl w:val="0"/>
        </w:rPr>
        <w:t xml:space="preserve">euro</w:t>
      </w:r>
      <w:r w:rsidR="00000000" w:rsidRPr="00000000" w:rsidDel="00000000">
        <w:rPr>
          <w:rtl w:val="0"/>
        </w:rPr>
        <w:t xml:space="preserve"> katram, kā arī šie projekti pēc būtības ir salīdzinoši vienkārši (nelieli telpu remontdarbi, medicīnas iekārtu iegāde). Līdz ar to, no esošā finansējuma apjoma atvēlēt finansējumu projekta vadības un īstenošanas personāla izmaksām būtu nelietderīgi un neefektīvi.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citu publisko investīciju īstenošanas pieredze apliecina, ka pie tik maza apjoma infrastruktūras projektiem nav nepieciešama atsevišķi šāda pozīcija, jo finansējuma saņēmējiem ir pašiem sava kapacitāte šādu projektu īstenošanai, piemēram, arī plānojot ES Atveseļošanās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atbalstāmo darbību un izmaksu attiecināmības nosacījumus, netika paredzēta administrēšanas izmaksu pozīcija, kā rezultātā, vērtējot šādu projektu īstenošanas gaitu, var secināt, ka projekta iesniedzējiem ir pietiekama projekta īstenošanas un finanšu kapacitāte un šādu izmaksu neesamība nerada būtiskas problēmas sekmīgai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“būvniecība”</w:t>
      </w:r>
      <w:r w:rsidR="00000000" w:rsidRPr="00000000" w:rsidDel="00000000">
        <w:rPr>
          <w:rtl w:val="0"/>
        </w:rPr>
        <w:t xml:space="preserve"> ietvaros atļauts attīstīt infrastruktūru ar ārstniecību saistītās struktūrvienībās un tikai ārstniecības procesa tiešai nodrošināšanai. Ir attiecināmas būvprojekta minimālā sastāvā un būvprojekta izstrādes izmaksas, funkcionālā plānojuma un tehniskās specifikācijas izstrādes izmaksas, projekta ekspertīžu izmaksas, autoruzraudzības un būvuzraudzības izmaksas vides un informācijas piekļūstamības ekspertu konsultāciju un būvniecības jomu regulējošos normatīvajos aktos noteiktās attiecīgo būvspeciālistu obligātās apdrošināšanas izmaksas ar nosacījumu, ka tās nepārsniedz 10 procentus no projekta kopējām attiecināmajām izmaksām, un būvniecības izmaksas, tajā skaitā demontāžas izmaksas un izmaksas, kas saistītas ar objektu nodošanu ekspluatācijā – ir attiecināmas visas ar būvniecību saistītās izmaksas saskaņā ar Būvniecības likumu. Atbilstoši Būvniecības likumam būvdarbi ir - būvniecības procesa sastāvdaļa, darbi, kurus veic būvlaukumā vai būvē, lai radītu būvi, novietotu iepriekš izgatavotu būvi vai tās daļu, pārbūvētu, atjaunotu, restaurētu, iekonservētu, nojauktu būvi vai ierīkotu inženiertīklu. Savukārt būvniecība ir - visu veidu būvju projektēšana un būvdarbi. Būvniecības likuma 3. pants noteic - darbības jomu – proti, likumu piemēro jaunu būvju būvniecībai, kā arī esošu būvju pārbūvei, atjaunošanai, restaurācijai, nojaukšanai, novietošanai, lietošanas veida maiņai bez pārbūves un konservācijai.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“tehnoloģiju iegāde, piegāde un montāža” </w:t>
      </w:r>
      <w:r w:rsidR="00000000" w:rsidRPr="00000000" w:rsidDel="00000000">
        <w:rPr>
          <w:rtl w:val="0"/>
        </w:rPr>
        <w:t xml:space="preserve">ietvaros ir attiecināmas medicīnas tehnoloģiju piegādes (t.sk. iegādes, piegādes un montāžas) izmaksas, proti medicīniskās tehnoloģijas, iekārtas, ierīces (piemēram, ultrasonogrāfijas iekārtas, rentgena aparāti, endoskopi, mammogrāfs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attiecināmas izmaksas par šādu medicīnisko tehnoloģiju iegādi, piegādi un uzstādīšanu: magnētiskā rezonanse; datortomogrāfs; angiogrāfs. Šāds ierobežojums noteikts, ņemot vērā to, ka minētās iekārtas ir augsto tehnoloģiju iekārtas, kuru iegādes izmaksas ir salīdzinoši augstas un kuras nevar būt ilgtspējīgas bez atbilstoša finansējuma. Tāpat nosakot šo ierobežojumu, tika ņemts vērā ar Veselības ministrijas 2020. gada 9. janvāra rīkojumu Nr. 5 “Par darba grupas izveidi efektīvu un drošu medicīnisko tehnoloģiju racionālas pieejamības nodrošināšanai” izveidotās darba grupas sagatavotais ziņojums</w:t>
      </w:r>
      <w:r w:rsidR="00000000" w:rsidRPr="00000000" w:rsidDel="00000000">
        <w:rPr>
          <w:vertAlign w:val="superscript"/>
          <w:rtl w:val="0"/>
        </w:rPr>
        <w:t xml:space="preserve">[4]</w:t>
      </w:r>
      <w:r w:rsidR="00000000" w:rsidRPr="00000000" w:rsidDel="00000000">
        <w:rPr>
          <w:rtl w:val="0"/>
        </w:rPr>
        <w:t xml:space="preserve"> un sniegtās rekomendācijas par centralizētiem plānošanas un izvietošanas principiem pakļauto medicīnisko ierīču racionālas piekļūstamības nodrošināšanai. Minētajā ziņojumā tika apkopota informācija par medicīniskajām ierīcēm, kuras būtu jāplāno centralizēti un kuras darba grupa rekomendē pakļaut centralizētiem plānošanas un izvietošanas principiem optimālā iekārtu skaita nodrošināšanai Latvijas teritorijā, kā arī efektivitātes un drošu medicīnisko tehnoloģiju racionālas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projektā, attiecinot medicīniskās tehnoloģijas, kuru vienas vienības piegādes izmaksas pārsniedz 20 000 </w:t>
      </w:r>
      <w:r w:rsidR="00000000" w:rsidRPr="00000000" w:rsidDel="00000000">
        <w:rPr>
          <w:i w:val="1"/>
          <w:rtl w:val="0"/>
        </w:rPr>
        <w:t xml:space="preserve">euro</w:t>
      </w:r>
      <w:r w:rsidR="00000000" w:rsidRPr="00000000" w:rsidDel="00000000">
        <w:rPr>
          <w:rtl w:val="0"/>
        </w:rPr>
        <w:t xml:space="preserve"> (ar PVN), nepieciešams Veselības ministrijas saskaņojums. Veselības ministrija izveido tehnoloģijas skaņošanas darba grupu un nosaka tās kārtību, tostarp par projekta ietvaros iegādājamajām iekārtām, kuru vienas vienības piegādes izmaksas nepārsniedz 20 000 </w:t>
      </w:r>
      <w:r w:rsidR="00000000" w:rsidRPr="00000000" w:rsidDel="00000000">
        <w:rPr>
          <w:i w:val="1"/>
          <w:rtl w:val="0"/>
        </w:rPr>
        <w:t xml:space="preserve">euro</w:t>
      </w:r>
      <w:r w:rsidR="00000000" w:rsidRPr="00000000" w:rsidDel="00000000">
        <w:rPr>
          <w:rtl w:val="0"/>
        </w:rPr>
        <w:t xml:space="preserve"> (ar PVN). Tehnoloģiju saskaņojums tiek veikts pēc tehnoloģijas atbilstības konkrēto valsts apmaksāto pakalpojumu sniegšanai atbilstoši ārstniecības iestādes pakalpojumu veidiem un apjomiem, tiek vērtēta cilvēkresursu pieejamība darbam ar konkrēto tehnoloģiju, tiek vērtēta atbilstība tehnoloģiju kartējumam atbilstoši ar Veselības ministrijas 2020. gada 9. janvāra rīkojumu Nr. 5 izveidotās darba grupas “Darba grupas medicīnisko ierīču racionāla ģeogrāfiskā izvietojuma noteikšanai un pieejamības uzlabošanai” ziņojumā minēto tehnoloģiju izvērtējumu. Saskaņojums vajadzīgs tehnoloģijas attiecināmības brīdī. Respektīvi, projektu atlases un īstenošanas posmā, līdz tehnoloģijas iegādes brīdim tehnoloģiju saskaņojums var arī vēl nebūt. Projekta iesniedzējs norāda projektā, ka tādu tehnoloģiju plānots iegādāties, savukārt brīdī, kad zināmi tehnoloģijas parametri, tas var skaņot tehnoloģiju komisijā, attiecīgi, ja saskaņojums veikts, var tikt attiecināts uz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“komunikācijas un vizuālās identitātes prasību nodrošināšana”</w:t>
      </w:r>
      <w:r w:rsidR="00000000" w:rsidRPr="00000000" w:rsidDel="00000000">
        <w:rPr>
          <w:rtl w:val="0"/>
        </w:rPr>
        <w:t xml:space="preserve"> ietvaros ir attiecināmas informācijas un publicitātes nodrošināšanas izmaksas atbilstoši regulas Nr. 2021/1060 47. un 50. pantā noteiktajām prasībām, kā arī atbilstoši normatīvajam aktam par kārtību, kādā Eiropas Savienības fondu vadībā iesaistītās institūcijas nodrošina šo fondu ieviešanu 2021.-2027. gada plānošanas periodā, ievērojot ES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nodokļa maksājumi, kas tiešā veidā saistīti ar projektu, ir attiecināmās izmaksas, ja finansējuma saņēmējs tos nevar atgūt atbilstoši normatīvajiem aktiem par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ja tās atbilst šajos noteikumos minētajām izmaksu pozīcijām un tās ir radušās pēc tam, kad noslēgts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vērtēšanas komisijā sadarbības iestāde iekļauj arī pārstāvi no Veselības ministrijas kā vadošās valsts pārvaldes iestādes veselības nozarē un Nacionālā veselības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sasniegto rezultātu ilgtspēju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ka projekta īstenošanas laikā nekustamie īpašumi, kuri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 būvniecības jomā. Finansējuma saņēmēja tiesībām uz konkrēto īpašumu jābūt nostiprinātām zemesgrāmatā. Ja investīcijas ir veiktas ēkās un būvēs, nepalielinot apbūves laukumu, īpašumtiesībām vai citām tiesībām attiecībā uz zemi nav jābūt nostiprinātām zemesgrāmatā. Prasība par nekustamo īpašumu tiesību nostiprināšanu zemesgrāmatā ir jānodrošina līdz pirmajam avansa vai starpposma maksājuma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nodrošina, ka atbilstoši Eiropas Parlamenta un Padomes 2020. gada 18. jūnija Regulas (ES) 2020/852 par regulējuma izveidi ilgtspējīgu ieguldījumu veicināšanai un ar kuru groza Regulu (ES) 2019/2088, 17. panta prasībām nodrošina, ka tiek ievēroti nacionālos normatīvos aktos noteiktie principa “Nenodarīt būtisku kaitējumu” vides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radīs ievērojamas siltumnīcefekta gāzes (turpmāk –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neradīs ievērojamas SEG emisijas, ņemot vērā, ka SAM ietvaros plānota ārstniecības iestāžu infrastruktūras attīstība, kam būs nebūtiska 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infrastruktūras attīstība atbilstoši mūsdienu prasībām, tad plānots, ka ēkas un iekārtas tiks uzlabotas (vai daļa iekārtu aizstātas ar jaunām), tad daļā gadījumu iespējama arī pozitīva ietekme uz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atbalstīt teritorijas labiekārtošanas darbus, piemēram, koku stādīšanu, apzaļumošanu, tādējādi veicinot CO2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nulles alternatīvas, t.i., nav iespējams neveikt investīcijas veselības aprūpes infrastruktūras attīstības pasākumus, jo tādējādi tiktu apdraudēta veselības aprūpes pakalpojumu pieejamība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Papildinoši pasākumi un investīcijas ar SEG emisiju samazinošu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investīcijas digitālajā veselībā, kas samazinās pārvietošanās nepieciešamību (klātienes apmeklējumus) un papīra izmantošanu, ir arī darbības programmas 2021. - 2027. gada plānošanas perioda ietvaros, paredzot investīcijas e-pakalpojumu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izraisīs pašreizējā klimata un gaidāmā nākotnes klimata negatīvās ietekmes palielināšanos uz pašu pasākumu vai uz cilvēku,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kvalitatīvu un izmaksu efektīvu integrētu veselības aprūpes pakalpojumu pieejamībai un veselības aprūpes sistēmas gatavībai pakalpojumu nodrošināšanai epidemioloģiskajās krīzēs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pasākumi nav saistīti ar klimata pārmaiņu radīto potenciālo risku radīšanu, kā arī uzlabojot novecojošo infrastruktūru, tiks netieši mazināta klimatu pārmaiņu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ilgtspējīga ūdens un jūras resursu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kaitēs: (i) ūdensobjektu labam stāvoklim vai to labam ekoloģiskajam potenciālam, ieskaitot virszemes ūdeņus un gruntsūdeņus; vai (ii)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 netiek īstenoti pasākumi ūdensobjektu ietekmēšanai.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pāreja uz aprites ekonomiku, ieskaitot atkritumu rašanās novēršanu un to reciklēšanu: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 būtiski palielinās atkritumu rašanos, incinerāciju vai apglabāšanu, izņemot nepārstrādājamu bīstamo atkritumu incinerāciju; vai (ii) dabas resursu tiešā vai netiešā izmantošanā jebkurā to aprites cikla posmā radīs būtisku neefektivitāti, kas netiek samazināta līdz minimumam ar atbilstošiem pasākumiem; vai (iii) radīs būtisku un ilgtermiņa kaitējumu videi attiecībā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iespēju robežās tiks veicināta zaļā publiskā iepirkuma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atkritumu apstrāde atbilstoši normatīvo aktu prasībām un labas pārvaldības principiem. Veselības ministrija nav plānojusi noteikt nosacījumus, kas pārsniedz nacionālajā horizontālajā regulējumā noteikto prasību ievērošanu attiecībā uz zaļo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ievērojami palielinās piesārņotāju emisijas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plānojot jau esošo ārstniecības iestāžu attīstību nav paredzams, ka pasākums būtiski palielinās piesārņotāju emisijas gaisā, pasākuma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būtiski kaitēs ekosistēmu labam stāvoklim un noturībai; vai (ii) kaitēs dzīvotņu un sugu, tostarp Savienības nozīmes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paredzama būtiska ietekme, jo plānots, ka projekti tiks veikti jau esošajā ārstniecības iestāžu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finansējuma saņēmējs nodrošina horizontālā principa "Vienlīdzība, iekļaušana, nediskriminācija un pamattiesību ievērošana" īstenošanu un uzkrāj datus par šādiem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objektu skaits, kuros ERAF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veiktā vides un informācijas piekļūstamības pašnovērtējuma rezultāts, atbilstoši LM izstrādātajai metodikai un pašnovērtējumā iegūtais 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finansējuma saņēmējs uzkrāj datus par faktiski sasniegto šo noteikumu 8. punktā minēto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pārējo rādītāju datu uzkrāšanu un ziņošanu Kohēzijas politikas fondu vadības informācijas sistēmā (turpmāk – KPVIS), norādām, ka šo rādītāju aktuālās vērtības netiks uzkrātas atsevišķi katrā šī pasākuma projektā, bet būs manuāli aprēķināti, apkopoti un ievadīti KPVIS. Rādītāju uzskaiti un aktuālo datu ievadi nodrošinās atbildīgā iestāde sadarbībā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finansējuma saņēmējs ir publiskas personas institūcija, tai skaitā publiskas personas kapitālsabiedrība, finansējuma saņēmējam ir pienākums līdz projekta iesnieguma iesniegšanai izstrādāt iekšējās kontroles sistēmu korupcijas un interešu konflikta riska novēršanai (iekšējo kārtību), ietverot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pasākumus interešu konflikta riska kontrolei (preventīvus pasākumus un konstatēšanas pasākumus interešu konflikta riska kontrolei, t. sk. paziņošanas procedūru, labošanas pasākumus) tai skaitā ietverot informāciju par interešu konflikta novēršanu saskaņā ar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Komisijas regulas Nr. 2018/1046 (turpmāk – Finanšu regula), 61. 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pasākumus aizliegto vienošanos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dubultā finansējuma novēršanas mehānismu pret citiem finansēšanas avotiem, tai skaitā pret Eiropas Savienības kohēzijas politikas programmu 2021.-2027.gadam, Eiropas Savienības struktūrfondu un Kohēzijas fonda 2014.–2020.gada plānošanas perioda darbības programmu "Izaugsme un nodarbinātība"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ziņošanas mehānismu kompetentajām iestādēm par potenciāliem administratīviem vai kriminālpārkāpumiem.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izstrādājot nosacījumus, kā tas pārliecinās par interešu konflikta, krāpšanas un korupcijas risku neesību, jāizvērtē, jāpielāgo un jāietver prasības atbilstoši Ministru kabineta 2017. gada 17. oktobra noteikumos Nr. 630 "Noteikumi par iekšējās kontroles sistēmas pamatprasībām korupcijas un interešu konflikta riska novēršanai publiskas personas institūcijā" noteiktajam. Papildus, iekšējās kārtības izstrādē jāizmanto Korupcijas novēršanas un apkarošanas biroja 2018. gadā izstrādātās vadlīnijas “Vadlīnijas par iekšējās kontroles sistēmas pamatprasībām korupcijas un interešu konflikta riska novēršanai publiskas personas institūcijā” (pieejamas: https://www.knab.gov.lv/lv/informativie-un-metodiskie-materiali).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īsteno saskaņā ar līgumu par projekta īstenošanu, kas noslēgta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demarkācija un papildinātība ar citiem finanšu instrumentiem, piemēram, ar investīcijām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ietvaros, ar ES fondu 2014.-2020.gada plānošanas perioda ERAF atbalsta piešķīruma projektiem. Lai novērstu demarkāciju un dubulto finansējumu, demarkācija veselības jomas investīcijām tiek nodrošināta trijos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Stratēģiskās plānošanas līmenī (Sabiedrības veselības pamatnostādnēs 2021. - 2027. gadam un specifiskajos veselības jomas apakšnozaru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plānošanas līmenī (veselības nozares infrastruktūras investīciju stratēģijā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Operacionālajā līmenī (projektu vērtēšanas posmā, t.sk. paredzot attiecīgus projektu iesniegumu vērtēšanas kritērijus darbības programmas projektiem, kā arī nodrošinot visu investīciju augsto tehnoloģiju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publiskajām investīcijām veselības jomā ir savstarpēji papildinoša ietekme, proti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ietvaros paredzēts finansējums, lai stiprinātu sekundāro ambulatoro pakalpojumu sniedzēju veselības aprūpes pakalpojumu sniegšanas infrastruktūru, nodrošinot visaptverošu, ilgtspējīgu un integrētu veselības pakalpojumu sniegšanu, lai mazinātu infekciju slimību izplatību un veicinātu epidemioloģisko prasību ievērošanu, savukārt ES fondu ieguldījumi 2021. - 2027. gada plānošanas periodā paredzēti pakalpojumu pieejamības un efektivitātes uzlabošanai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īstenotās investīcijas uzlabos sabiedrības pieejamību veselības aprūpes pakalpojumiem, veselības aprūpes pakalpojumu kvalitāti un Latvijas iedzīvotāju veselību, pagarinot labā veselībā nodzīvoto mūžu, novēršot priekšlaicīgu mirstību un mazinot nevienlīdzību veselības jomā. Veicot investīcijas infrastruktūras uzlabošanā, tiek veicināta ilgtspējīga pakalpojumu sniegšana, veselības aprūpes sistēmas efektivitāte, pacientu drošība, pakalpojumu kvalitāte un pacientu medicīniskās aprūpes pēctecība un pieejamība. Tāpat pasākuma ietvaros plānotie ieguldījumi veicinās Eiropas Savienības stratēģijā Baltijas jūras reģionam (ESSBJR) apakšmērķa “celt labklājību” sasniegšanu un Bauhaus principu sasniegšanu netiešā veidā un iespēju robežās tiks nodrošināti projektos. Investīcijām piemērojams Makroreģionālā un jūras baseinu stratēģijas kods 03 - Baltijas jūras reģiona stratēģija. Tomēr jāņem vērā, ka Bauhaus principu ievērošana galvenokārt ir iespējama tikai ar būvniecību saistītajos projektos un nav iespējama ārstniecības iestāžu projektos, kas saistīti tikai ar konkrētu medicīnas tehnoloģiju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jāatzīmē, ka, vērtējot plānoto 4.1.1.1. pasākuma 4. kārtas ietekmi uz tautsaimniecību, t.sk. norādot pēc iespējas izmērāmus faktiski sagaidāmos rezultātus/ rādītājus, pasākuma ietvaros īstenotās investīcijas ir vērstas uz Latvijas Nacionālajā attīstības plānā 2021. – 2027. gadam noteiktajiem mērķiem, proti   sabiedrības veselības politikas rezultatīvo rādītāju sasniegšanu, atbilstoši – mirstības no pašnāvībām un potenciāli zaudēto mūža gadu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664"/>
        <w:gridCol w:w="1189"/>
        <w:gridCol w:w="1114"/>
        <w:gridCol w:w="1072"/>
        <w:tblGridChange w:id="0">
          <w:tblGrid>
            <w:gridCol w:w="5664"/>
            <w:gridCol w:w="1189"/>
            <w:gridCol w:w="1114"/>
            <w:gridCol w:w="10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Progresa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Mirstība no pašnāvībām uz 100 000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 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Potenciāli zaudētie mūža gadi uz 100 000 iedzīvotāju līdz 64gadu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 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plānots Programmas 4. prioritātes “Sociālās iekļaušanas veicināšana” ietvaros, kas investīcijas pienesumu tautsaimniecībai atspoguļo kā sociālekonomisku ieguvumu, respektīvi, uzlabojot valsts apmaksātu veselības aprūpes pakalpojumu sniegšanas infrastruktūru, tiek nodrošināta savlaicīga, kvalitatīva un efektīva veselības aprūpe. Tas savukārt rada ietekmi uz tautsaimniecību, proti cilvēks mazāk slimo, ātrāk atveseļojas, samazinās invaliditātes iestāšanās risks, tiek pagarināts mūža ilgums un darbspējas vecums, kas atgriežas valsts budžetā ar nodokļu ieņēmumiem, un tiek samazināti nodokļu izdevumi par sarežģītām un nesavlaicīgi diagnosticētām kaitēm, slimības pabalstiem. Papildus minētajam, saskaņā ar MK noteikumu 35. punktu, projekta iesniedzējam, iesniedzot projektam iesniegumu, ir jāveic izmaksu un ieguvumu analīze, kas konkrētā projekta gadījumā atspoguļo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4.1.1.2. pasākums "P.Stradiņa klīniskās universitātes slimnīcas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4.1.1.4. pasākums "Veselības aprūpes pārvaldības sistēmas stiprināšana un digitalizācija, attīstot digitālos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Mikrouzņēmums, mazais un vidējais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Zāļu valsts aģentūras 2020. gada 24. augusta ziņojums “Darba grupas efektīvu un drošu medicīnisko tehnoloģiju racionālas pieejamības nodrošināšanai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Veselības centru apvienība, AS
Rīgas veselības centrs, SIA
VESELĪBAS CENTRS 4, SIA
Dziedniecība, SIA
Latvijas Jūras medicīnas centrs, AS
Rīgas 1. slimnīca, SIA
Jelgavas poliklīnika, SIA
Veselības centri un doktorāti, SIA
MOŽUMS-1, SIA
Zemgales veselības centrs, SIA
Salaspils veselības centrs, SIA
PRIVĀTKLĪNIKA "ĢIMENES VESELĪBA", SIA
VALMIERAS VESELĪBAS CENTRS, SIA
Kauguru veselības centrs, Pašvaldības SIA
DZELZCEĻA VESELĪBAS CENTRS, SIA
L. ATIĶES DOKTORĀTS, SIA
TALSU VESELĪBAS CENTRS, SIA
Ventspils poliklīnika, Pašvaldības SIA
Iekšlietu ministrijas poliklīnika, VSIA
Sarkanā Krusta Smiltenes slimnīca, SIA
ULTRA EXPRESS, SIA
medicīnas firma "Elpa", SIA
GRĪVAS POLIKLĪNIKA, SIA
MEDA D, SIA
Ādažu slimnīca, Pašvaldības SIA
Zābere Lauma - ārsta prakse kardioloģijā
Medicīnas sabiedrība "ARS", SIA
Veselības korporācija, SIA
I.B., SIA
OlainMed, SIA
JAUNLIEPĀJAS PRIMĀRĀS VESELĪBAS APRŪPES CENTRS, SIA 
LIJAS MORAS ĀRSTA PRAKSE, SIA
Dubultu doktorāts, SIA
GREMOŠANAS SLIMĪBU CENTRS "GASTRO", SIA 
Neiroprakse, SIA
LUC MEDICAL, SIA
Krāslavas novada Veselības un sociālo pakalpojumu centrs "Dagda"
Iecavas veselības centrs, Pašvaldības aģentūra
Daugavpils bērnu veselības centrs, SIA
DOKTORĀTS ELITE, Medicīnas SIA
I.Žarikova ārsta prakse, SIA
SANARE-KRC JAUNĶEMERI, SIA
VIZUĀLĀ DIAGNOSTIKA, SIA
Klīnika DiaMed, SIA
Ērgļu slimnīca, Ērgļu pašvaldības SIA
Saulīte-Kandevica Daina - ārsta prakse kardioloģijā un reimatoloģijā
Ārgale Vēsma - ārsta prakse kardioloģijā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pildīs atbildīgās iestādes funkcijas, visas augstāk minētās ārstniecības iestādes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481 025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481 025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405 508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405 508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565 912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-84 887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-84 887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-84 887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-84 887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un pieejamais kopējais finansējums ir 4 812 877 euro, tai skaitā Eiropas Reģionālās attīstības fonda finansējums ir 4 090 945 euro un nacionālais finansējums, kas iekļauj valsts budžeta un privāto finansējumu, ir 721 932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plānots Finanšu ministrijas budžeta apakšprogrammā 62.10.00 “Eiropas Reģionālās attīstības fonda (ERAF) avansa maksājumi un atmaksas finansējuma saņēmējiem (2021 - 2027)” kā avansi un atmaksa finansējuma saņēmējiem par ERAF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no projekta attiecināmajām izmaksām. Visus minētos pasākumus plānots ieviest līdz 2029. gada 31. decembrim, tai skaitā paredzēts: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83"/>
              <w:gridCol w:w="844"/>
              <w:gridCol w:w="938"/>
              <w:gridCol w:w="869"/>
              <w:gridCol w:w="817"/>
              <w:gridCol w:w="766"/>
              <w:gridCol w:w="981"/>
              <w:tblGridChange w:id="0">
                <w:tblGrid>
                  <w:gridCol w:w="1983"/>
                  <w:gridCol w:w="844"/>
                  <w:gridCol w:w="938"/>
                  <w:gridCol w:w="869"/>
                  <w:gridCol w:w="817"/>
                  <w:gridCol w:w="766"/>
                  <w:gridCol w:w="9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4.1.1.1. IV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405 508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960 853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2 622 538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4 812 877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ERAF,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219 356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344 682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481 025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816 725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2 229 157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4 090 945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Nacion. fin.,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38 710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60 826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84 887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144 128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393 381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721 932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līdzfinansējums un Eiropas Reģionālās attīstības fonda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30.07.2018, Eiropas Parlaments un Padome, L 193/1, Eiropas Parlamenta un Padomes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 2018/1046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25. augusta noteikumu Nr. 970 "Sabiedrības līdzdalības kārtība attīstības plānošanas procesā" 5. punktu un to, ka MK noteikumu projekts nemaina esošo regulējumu un neparedz ieviest jaunas politiskās iniciatīvas, sabiedrības līdzdalība tika nodrošināta ar Ministru kabineta 2022. gada 26. maija rīkojumu Nr. 359 "Sabiedrības veselības pamatnostādnes 2021. – 2027. gadam" apstiprināto Sabiedrības veselības pamatnostādņu 2021. – 2027. gadam un Eiropas Savienības kohēzijas politikas programmas 2021. – 2027. gadam skaņošanas procesā un ES fondu uzraudzības komitejā un ES fondu apakškomitejā. Priekšlikumu un viedokļu sniegšanai tiesību akta projekts tiks nodots nevalstiskajām organizācijām, t.sk. Latvijas Pašvaldību savienībai, Latvijas slimnīcu biedrībai un Veselības aprūpes darba devēju asociācijai.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ka projekts izpilda nepieciešamās prasības principa “Nenodarīt būtisku kaitējumu” ievērošanai.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piekļūstamības (tajā skaitā, lai nodrošinātu piekļuvi personām ar funkcionāliem traucējumiem) uzlabošanai. Finansējuma saņēmējs nodrošinās, ka iepirkumu, kas nepieciešams atbalstāmo darbību īstenošanai, finansējuma saņēmējs iespēju robežās veiks kā sociāli atbildīgu iepirkumu, pienācīgi ievērojot tādus principus kā personu ar invaliditāti vienlīdzīgu iespēju principu visās dzīves jomās, personai piemītošās cieņas,  personīgās patstāvības un neatkarības, t.sk. personīgās izvēles brīvības un personas neatkarības ievērošanas, diskriminācijas aizlieguma principu, piekļūstamības principu, līdzdalības principu, iekļaušanas principu un izpratnes veicināšanas principu, neveicinot nelabvēlīgākā situācijā esošu grupu segregāciju/izolāciju, piemēram, personu ar invaliditāti un migrantu izcelsmes personu segregāciju/izolāciju.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un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par horizontālā principa “Vienlīdzība, iekļaušana, nediskriminācija un pamattiesību ievērošana” ievērošanu, kura ietvaros tiek vērtēts, vai projekta iesniedzējam projektā tiek paredzētas vispārīgas un vismaz trīs specifiskās darbības, un vismaz viens horizontālā principa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investīcijas ārstniecības iestāžu infrastruktūras stiprināšanai, tiks uzlabota veselības aprūpes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saņēmēji nodrošinās informācijas un datu uzkrāšanu par lietotāju skaitu, kas gada laikā, pēc atbalstāmo darbību pabeigšanas, vismaz vienu reizi ir izmantojuši jaunos vai modernizētos pakalpojumu, ievērojot Eiropas Parlamenta un Padomes 2016.gada 27.aprīļa regulas Nr.2016/679 par fizisku personu aizsardzību attiecībā uz personas datu apstrādi un šādu datu brīvu apriti un ar ko atceļ Direktīvu 95/46/EK prasības, tostarp 5. pantā nostiprinātos datu apstrādes principus, informācijas par personu datu apstrādi,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skaidrus datu apstrādes nolūkus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subjektus,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persona var tikt uzskaitīta vairākas reizes, ja jaunajā vai modernizētajā aprūpes iestādē tā tika apkalpota vairākas reizes.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horizontālajiem principiem “Vienlīdzība, iekļaušana, nediskriminācija un pamattiesību ievērošana” (turpmāk – HP VINPI),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pie plānotajām darbībām ir jāparedz vismaz viens HP VINPI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objektu skaits, kuros ERAF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HP VINPI rādītājam projekta iesniedzējs var izvēlēties šādus horizontālo principu VINPI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vides un informācijas piekļūstamības pašnovērtējumu skaits, atbilstoši Labklājības ministrijas izstrādātajai metodikai (https://www.lm.gov.lv/lv/vides-un-informacijas-pieklustamibas-pasnovertejums-saskana-ar-lbn-200-21);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būvētās vides, informācijas tehnoloģiju risinājumu, informācijas tehnoloģiju piekļūstamību personām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paredzēti projekti, kuriem ir netieša ietekme uz HP VINPI (būvniecības projekti), kā arī projekti, kuriem nav ietekmes uz HP VINPI (projekti, kuros ir plānota tikai tehnoloģiju iegāde, piegāde un montāža), jo tā darbības ir vērstas uz tehnoloģiju pilnveidošanu vai nomaiņu, ieguldījumi nav saistīti ar cilvēkresursu attīstību vai publiskās infrastruktūras izveidi, tomēr vienlaicīgi tas negatīvi neietekmē HP VINPI. Attiecīgi projektiem, kuriem nav ietekmes uz HP VINPI, specifiskās darbības un HP VINPI rādītāji nav jāparedz.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atbalstāmo darbību īstenošanai nepieciešams veikt iepirkumu, finansējuma saņēmējs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pienācīgi ievērojot tādus principus kā personu ar invaliditāti vienlīdzīgu iespēju principu visās dzīves jomās, personai piemītošās cieņas, personīgās patstāvības un neatkarības, t.sk. personīgās izvēles brīvības un personas neatkarības ievērošanas, diskriminācijas aizlieguma principu, piekļūstamības principu, līdzdalības principu, iekļaušanas principu un izpratnes veicināšanas principu, neveicinot nelabvēlīgākā situācijā esošu grupu segregāciju/ izolāciju, piemēram, personu ar invaliditāti un migrantu izcelsmes personu segregāciju/ izolāciju.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netiešā veidā veicinās Bauhaus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finansējuma saņēmējs var plānot arī inovatīvu iepirkumu.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24-TA-2051</w:t>
    </w:r>
    <w:r>
      <w:br/>
    </w:r>
    <w:r w:rsidR="00000000" w:rsidRPr="00000000" w:rsidDel="00000000">
      <w:rPr>
        <w:rtl w:val="0"/>
      </w:rPr>
      <w:t xml:space="preserve">Izdrukāts 29.07.2026. 22.16 - 3.0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24-TA-2051</w:t>
    </w:r>
    <w:r>
      <w:br/>
    </w:r>
    <w:r w:rsidR="00000000" w:rsidRPr="00000000" w:rsidDel="00000000">
      <w:rPr>
        <w:rtl w:val="0"/>
      </w:rPr>
      <w:t xml:space="preserve">Izdrukāts 29.07.2026. 22.16 - 3.0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anotācija_(ex_ante)_24-TA-2051.docx</dc:title>
</cp:coreProperties>
</file>

<file path=docProps/custom.xml><?xml version="1.0" encoding="utf-8"?>
<Properties xmlns="http://schemas.openxmlformats.org/officeDocument/2006/custom-properties" xmlns:vt="http://schemas.openxmlformats.org/officeDocument/2006/docPropsVTypes"/>
</file>