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īstenošanas noteikumi” (turpmāk – noteikumu projekts) izstrādāts, pamatojoties uz Eiropas Savienības fondu 2021.-2027. gada plānošanas perioda vadības likuma 19. panta 6. un 13. punktu. Noteikumu projekta ietvaros pašvaldībām, kurās ir rinda uz vietu pirmsskolas izglītības iestādēs, tiks sniegts atbalsts privāto pirmskolas izglītības pakalpojumu un bērnu uzraudzības pakalpojumu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rindu uz pašvaldību pirmsskolas izglītības iestādēm,  nodrošinot atbalstu pašvaldībām privāto pirmsskolas izglītības pakalpojumu un bērnu uzraudzības pakalpojumu iegādei, samazinot pirmsskolas vecuma bērnu vecāku (likumisko pārstāvju) izdevumus par bērnu pirmsskolas izglītības programmas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Reģionālās politikas pamatnostādnēm 2021.–2027. gadam kā viens no galvenajiem izvirzītajiem politikas mērķiem ir pakalpojumu efektivitātes uzlabošana un nodrošināšana reģionos atbilstoši demogrāfiskajiem izaicinājumiem, kuru risināšanā viens no būtiskiem aspektiem ir nodrošināt teritoriju specifikai atbilstošus risinājumus apdzīvojuma un kvalitatīvas dzīves vides attīstībai, ievērojot, ka iedzīvotāju skaita izmaiņas pēdējos 10 gados būtiski atšķiras reģionāli – Pierīgas statistiskajā reģionā iedzīvotāju skaits ir samazinājies tikai par 1%, kamēr Latgales statistiskajā reģionā par 20%. Iedzīvotāju skaits ietekmē arī pašvaldību ieņēmumus un iespējas nodrošināt iedzīvotājiem pakalpojumus, radot atšķirīgus izaicinājumus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iedzīvotāju skaita samazināšanos reģionos, būtiski ir pārskatīt un padarīt efektīvāku pašvaldības nodrošināto pakalpojumu sniegšanas tīklu. Vienlaikus izaicinājumi starp teritorijām ir atšķirīgi – teritorijās, kur samazinās iedzīvotāju skaits, jāveido risinājums pakalpojumu uzturēšanas izmaksu samazināšanai uz klientu, savukārt teritorijās, kur pieaug iedzīvotāju skaits, jāpalielina pakalpojuma pieejamība un kvalitāte, tai skaitā pirmsskolas izglītības un bērnu uzraudzības pakalpojuma pieejamība. Tāpēc būtiski rast risinājumus gan pakalpojumu nodrošināšanai iedzīvotājiem atbilstoši demogrāfijas izaicinājumiem, gan pakalpojumu sasniedzamības  un dzīves vides uzlabošanai atbilstoši teritorijas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sniegtajiem datiem Vides aizsardzības un reģionālās attīstības ministrija (turpmāk – VARAM) vienu reizi gadā apkopo informāciju par pirmsskolas vecuma bērnu skaitu rindā uz pašvaldības pirmsskolas izglītības iestādēm (turpmāk – PII), kas tiek publicēta VARAM tīmekļvietnē (</w:t>
      </w:r>
      <w:r w:rsidR="00000000" w:rsidRPr="00000000" w:rsidDel="00000000">
        <w:rPr>
          <w:i w:val="1"/>
          <w:rtl w:val="0"/>
        </w:rPr>
        <w:t xml:space="preserve">https://www.varam.gov.lv/lv/pirmsskolas-izglitibas-iestazu-pieejamiba</w:t>
      </w:r>
      <w:r w:rsidR="00000000" w:rsidRPr="00000000" w:rsidDel="00000000">
        <w:rPr>
          <w:rtl w:val="0"/>
        </w:rPr>
        <w:t xml:space="preserve">) vai citā tīmekļvietnē atbilstoši aktuālajam normatīvajam regulējumam par informācijas publicēšanu par pirmsskolas vecuma bērnu skaitu pašvaldībās. Apkopojot pašvaldību iesniegtos datus, secināms, ka uz 2022. gada 1. oktobri kopumā 21 pašvaldībā rindā uz pašvaldības PII ir pavisam 6 868 bērni. Turklāt dažās pašvaldībās rindā ir 40-50% no visiem pirmsskolas vecuma bērniem. Vislielākā šī problēma ir Rīgā un tās apkārtējās pašvaldībās, ņemot vērā, ka pēdējo 10 gadu laikā Rīgā un Pierīgā ir būtiski palielinājies līdz četru gadu vecu bērnu skaits Latvijas iedzīvotāju migrācijas uz Rīgu un tās apkārtni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pašvaldību autonomajām funkcijām saskaņā ar Pašvaldību likuma 4.panta pirmās daļas 4.punktu ir gādāt par iedzīvotāju izglītību, tostarp nodrošināt iespēju iegūt obligāto izglītību un gādāt par pirmsskolas izglītības, vidējās izglītības, profesionālās ievirzes izglītības, interešu izglītības un pieaugušo izglītības pieejamību. Lai veicinātu pašvaldību iespējas uzņemties aktīvāku lomu ģimenēm labvēlīgākas vides veidošanā savā administratīvajā teritorijā, nodrošinātu darba un ģimenes dzīves līdzsvarošanu, veicinot vienlīdzīgas iespējas ģimenēm, kā arī palīdzētu pašvaldībām risināt esošās bērnu pieskatīšanas un aprūpes pakalpojumu nepietiekamo pieejamību un būtiski samazināt rindu, papildu pašvaldību PII infrastruktūras attīstībai, nepieciešams investēt privāto pirmsskolas izglītības un bērnu uzraudzības pakalpojuma (aukļu dienesta) pieejamībā. Tāpat atbalsts sekmēs vecāku (likumisko pārstāvju) aktīvu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laika posmam no dzimšanas līdz obligātajam skolas vecumam ir formējoša un svarīga nozīme bērna tālākajā attīstībā. Kvalitatīva pirmsskolas izglītība sniedz vienlīdzīgas attīstības iespējas bērniem, jo viņiem ir iespējams saņemt attīstībai nepieciešamo stimulāciju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 ir vispārējās izglītības pirmā pakāpe, kas nodrošina bērnu sagatavošanu skolai, aptverot individualitātes veidošanos, garīgo, fizisko un sociālo attīstību, iniciatīvas, zinātkāres, patstāvības un radošās darbības attīstību, veselības nostiprināšanu, psiholoģisko sagatavošanu skolai, kā arī valsts valodas lietošanas pamatiemaņu apguvi. Saskaņā ar Izglītības likuma 4. pantu un Vispārējās izglītības likuma 20.</w:t>
      </w:r>
      <w:r w:rsidR="00000000" w:rsidRPr="00000000" w:rsidDel="00000000">
        <w:rPr>
          <w:vertAlign w:val="superscript"/>
          <w:rtl w:val="0"/>
        </w:rPr>
        <w:t xml:space="preserve">1</w:t>
      </w:r>
      <w:r w:rsidR="00000000" w:rsidRPr="00000000" w:rsidDel="00000000">
        <w:rPr>
          <w:rtl w:val="0"/>
        </w:rPr>
        <w:t xml:space="preserve"> panta 1. punktu bērnu izglītošana Latvijā no piecu gadu vecuma ir obligāta, savukārt iepriekš minētā likuma 21. pants nosaka, ka  “vietējās pašvaldības savā administratīvajā teritorijā nodrošina vienlīdzīgu pieeju pirmsskolas izglītības iestādēm bērniem no pusotra gada vecuma”. Pasākuma ietvaros atbalsts nav saistīts ar atbalstu saimnieciskās darbības veikšanai un ir atbilstošs Eiropas Komisijas paziņojuma par Līguma par Eiropas Savienības darbību 107. panta 1. punktā minēto valsts atbalsta jēdzienu (2016/C 262/01) 28. punktā norādītajam, ka valsts izglītības sistēmas ietvaros nodrošinātā valsts izglītība, ko finansē un uzrauga valsts, var tikt uzskatīta par nesaimniecisko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nosacījumu un sasniedzamā rezultāta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sniegt atbalstu pašvaldībām bērnu pieskatīšanas pakalpojumiem, kuri Eiropas Savienības kohēzijas politikas programmas 2021.–2027. gadam (turpmāk – Programma) 4.3.6. specifiskā atbalsta mērķa “Veicināt nabadzības vai sociālās atstumtības riskam pakļauto cilvēku, tostarp vistrūcīgāko un bērnu, sociālo integrāciju”  4.3.6.6. pasākuma “Bērnu pieskatīšanas pakalpojumi” (turpmāk - 4.3.6.6. pasākums) izpratnē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privātos pirmsskolas izglītības pakalpojumus, kas ietver pilnu, licencētu pirmsskolas izglītības pakalpojuma apguvi un tiek nodrošināti ne mazāk kā 12 stundas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uzraudzības (aukļu dienesta) pakalpojumus, ko sniedz juridiskas personas atbilstoši normatīvajos aktos noteiktajām prasībām bērnu uzraudzības pakalpojuma sniedzējiem (Ministru kabineta (turpmāk – MK) 2013. gada 16. jūlija noteikumi Nr. 404 "Prasības bērnu uzraudzības pakalpojuma sniedzējiem un bērnu uzraudzības pakalpojuma sniedzēju reģistrēšanas kārtība"), tai skaitā sniedzot atbalstu pirmsskolas izglītības programmas apgūšanai bērna ģimenē, un tiek nodrošināti ne mazāk kā astoņas stundas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bērnu pieskatīšanas pakalpojumu nodrošināšanai veicinās pašvaldību iespējas uzņemties aktīvāku lomu ģimenēm labvēlīgākas vides veidošanā savā administratīvajā teritorijā, palīdzot risināt nepilnības pirmsskolas izglītības pakalpojuma pieejamības jomā, kā arī veicinot pirmsskolas izglītības kvalitāti un radot vienlīdzīgas iespējas vecākiem pilnvērtīgi iesaistīties darba tirgū un apmācībās. Atbalsts bērnu pieskatīšanas pakalpojumu nodrošināšanai risina PII nepietiekamību, tai skaitā, iesaistot privāto sektoru, kas sniedz pakalpojumus papildus pašvaldību nodrošinātajiem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bijušas pašvaldības, kur izmaksas PII pakalpojumu nodrošināšanai vienam bērnam sasniedza 330 </w:t>
      </w:r>
      <w:r w:rsidR="00000000" w:rsidRPr="00000000" w:rsidDel="00000000">
        <w:rPr>
          <w:i w:val="1"/>
          <w:rtl w:val="0"/>
        </w:rPr>
        <w:t xml:space="preserve">euro </w:t>
      </w:r>
      <w:r w:rsidR="00000000" w:rsidRPr="00000000" w:rsidDel="00000000">
        <w:rPr>
          <w:rtl w:val="0"/>
        </w:rPr>
        <w:t xml:space="preserve">mēnesī. Vidējās viena bērna uzturēšanas izmaksas pašvaldību PII katru gadu pieaug, un sagaidāms, ka arī turpmākajos gados būs novērojams, ka izmaksām būs tendence pieaugt, jo palielināsies, piemēram, gan pedagogu atalgojums, gan administratīvie izdevumi, u.c. Lai sasniegtu lielāku ietekmi uz PII rindas mazināšanu, noteikumu projekts paredz samazinātu līdzfinansējuma likmi, nosakot, ka maksimālais Eiropas Sociālā fonda Plus (turpmāk – ESF+) finansējums viena bērna pirmsskolas izglītības pakalpojuma nodrošināšanai mēnesī ir 250 </w:t>
      </w:r>
      <w:r w:rsidR="00000000" w:rsidRPr="00000000" w:rsidDel="00000000">
        <w:rPr>
          <w:i w:val="1"/>
          <w:rtl w:val="0"/>
        </w:rPr>
        <w:t xml:space="preserve">euro</w:t>
      </w:r>
      <w:r w:rsidR="00000000" w:rsidRPr="00000000" w:rsidDel="00000000">
        <w:rPr>
          <w:rtl w:val="0"/>
        </w:rPr>
        <w:t xml:space="preserve">. Pašvaldības atbalstu bērniem, kas apmeklē privātās PII, aprēķina normatīvajos aktos noteiktajā kārtībā (MK 2015. gada 8. decembra noteikumi Nr. 709 "Noteikumi par izmaksu noteikšanas metodiku un kārtību, kādā pašvaldība atbilstoši tās noteiktajām vidējām izmaksām sedz pirmsskolas izglītības programmas izmaksas privātai izglītības iestādei"). Izmaksas sedz apmērā, kas atbilst vienam izglītojamajam pirmsskolas izglītības programmā nepieciešamajām vidējām izmaksām attiecīgās pašvaldības PII.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4.3.6.6. pasākuma ietvaros sasniedzamo rezultāta rādītāju – bērnu skaits, kas saņēmuši pirmsskolas izglītības pakalpojumus vismaz 1-3 gadus – tika pieņemts, ka objektīvu apstākļu dēļ pakalpojuma potenciāls var netikt 100% izmantots, tāpēc, ņemot vērā 4.3.6.6. pasākumam paredzēto finansējumu, rādītājs tika proporcionāli samazināts līdz 1 177 bērniem,  kas saņem atbalstu. Par pakalpojuma saņemšanas periodu tiek uzskatīts laiks, kad bērnam ir pieejams pakalpojums, ievērojot noteikumu projektā ietvertos nosacījumus par laika periodu, kad pakalpojums netiek izmantots bērna slimības, vecāku atvaļinājuma vai citu attaisnojošu iemeslu dēļ, par kuriem bērna vecāki bērnu pieskatīšanas pakalpojumu sniedzēju rakstiski informējuši pirms plānotās prombūtnes, kas kopumā nav ilgāka par 60 dienām kalendāra gada laikā. Ievērojot minēto, tiek pieņemts, ka pakalpojuma potenciāls ir 95% no atbalstu saņēmušo bērnu skaita (no iznākuma rādītāja EECO06 vērtības – 1 239 bērni).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finansējums tiks piešķirts pašvaldībām, kurās uz projekta iesnieguma iesniegšanas brīdi attiecīgajā mācību gada 1.oktobrī saskaņā ar VARAM apkopoto un VARAM tīmekļvietnē vai citā tīmekļvietnē atbilstoši aktuālajam normatīvajam regulējumam par informācijas publicēšanu par pirmsskolas vecuma bērnu skaitu pašvaldībās publicēto aktuālo informāciju pirmsskolas vecuma bērnu skaits rindā uz pašvaldības PII ir lielāks par 100, un attiecīgās novada pašvaldības teritoriālā iedalījuma vienībā, kurā ir plānots īstenot projektu, pirmsskolas vecuma bērnu skaits rindā uz vietu PII ir lielāks par 50. Saskaņā ar Administratīvo teritoriju un apdzīvoto vietu likuma 5. pantu novada teritoriālais iedalījums iedalās pilsētās (novada pilsētās un valstspilsētās) un pagastos. Informāciju par bērnu skaitu, kas ir iekļauti rindā uz vietu pašvaldību PII, pašvaldības iesniedz VARAM līdz attiecīgā gada 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atbalstu var saņemt pašvaldības, kuras saskaņā ar Administratīvo teritoriju un apdzīvoto vietu likumu plānots apvienot 2029. gadā (Daugavpils valstspilsētas pašvaldību ar Augšdaugavas novada pašvaldību, Jelgavas valstspilsētas pašvaldību ar Jelgavas novada pašvaldību, Liepājas valstspilsētas pašvaldību ar Dienvidkurzemes novada pašvaldību, Rēzeknes valstspilsētas pašvaldību ar Rēzeknes novada pašvaldību un Ventspils valstspilsētas pašvaldību ar Ventspils novada pašvaldību) un kurās uz attiecīgā mācību gada 1.oktobri abās apvienojamajās pašvaldībās kopā pirmsskolas vecuma bērnu skaits rindā uz pašvaldību PII ir lielāks par 100 (atbilstoši VARAM tīmekļvietnē vai citā tīmekļvietnē atbilstoši aktuālajam normatīvajam regulējumam par informācijas publicēšanu par pirmsskolas vecuma bērnu skaitu pašvaldībās publicētajiem datiem), un projektu plānots īstenot novada pašvaldības teritoriālajā vienībā, kas robežojas ar valstspilsētas pašvaldību, projekta iesniegumā pamatojot projekta nepieciešamību konkrētajā novada teritoriālajā vienībā. Iesniedzot projekta iesniegumu, projekta iesniedzējam ir jāpievieno abu apvienojamo pašvaldību domes lēmumi, ar ko tiek saskaņota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ESF+ finansējuma īpatsvars no kopējām attiecināmajām izmaksām projekta iesniegumā norādītajai attiecināmajai izmaksu pozīcijai nepārsniedz 85%. Rīgas plānošanas reģiona pašvaldībām vai to iestādēm, kurām, ievērojot Programmas 380. rindkopā noteikto par reģionālās attīstības atšķirību mazināšanu, paredzēts, ka ESF+ finansējuma īpatsvars no kopējām attiecināmajām izmaksām nepārsniedz 75% no projekta kopējām attiecināmajām izmaksām. Atbilstoši MK 2021. gada 22. jūnija noteikumiem Nr. 418 “Noteikumi par plānošanas reģionu teritorijām” Rīgas plānošanas reģionā ietilpst: Rīga, Jūrmala, Ādažu novads, Ķekavas novads, Mārupes novads, Olaines novads, Ropažu novads, Salaspils novads, Siguldas novads.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valsts budžeta aizdevumu un citu atbalsta programmu ietvaros sniegto atbalstu jaunu vietu radīšanai PII un dubultās finansēšanas risku novēršana tiks nodrošināta projektu līmenī, pārbaudot Kohēzijas politikas fondu vadības informācijas sistēmu un VARAM valsts budžeta aizdevuma programmas ietvaros iesniegtos projektus un pārliecinoties, ka vienas un tās pašas atbalstāmās darbības un attiecināmās izmaksas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var tikt organizēti vairāki projektu iesniegumu atlases uzsaukumi, ja to veikšana ir lietderīga un pamatota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paredz pašvaldības attīstības programmā vai tās pielikumos, kurā sniedz arī prognozi par pirmsskolas vecuma bērnu skaitu turpmākajos piecos gados novada teritoriālo vienību vai valstspilsētu noteikto teritoriālo iedalījumu (apkaimju, mikrorajonu, u.c.) griezumā un izvērtē PII pakalpojumu sniegšanas risinājumu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Programmas noteiktajam intervences kodam – Nr.148 “Atbalsts pirmsskolas izglītībai un bērnu aprūpei (izņemot infrastruktūru)” - ESF+ finansējums 16 269 000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 kas ir saistītas ar atbalstu pašvaldībām privāto pirmsskolas izglītības pakalpojumu un bērnu uzraudzības pakalpojumu iegādei.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iesniegšanas brīdi normatīvajos aktos publisko iepirkumu jomā paredzētajā kārtībā ir jābūt izvēlētam projekta ietvaros nodrošināmo pakalpojumu sniedzējam. Vienlaikus projekta iesniegumā var tikt iekļautas darbības, kas radušās pirms projekta iesnieguma iesniegšanas noslēgtā un spēkā esošā pakalpojumu vai deleģēšanas līgumā par pirmsskolas izglītības pakalpojumu vai bērnu uzraudzības pakalpojuma sniegšanu, taču projektā plānotās izmaksas ir attiecināmas no projekta iesnieguma iesniegšanas dienas. Starp finansējuma saņēmēju un bērnu pieskatīšanas pakalpojumu sniedzēju noslēgtajos līgumos var tikt paredzēts nosacījums, ka reizi gadā var tikt pārskatīta maksa par bērnu pieskatīšanas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nodrošināšanai tiek piemērota personāla atlīdzības likme 2% apmērā no noteikumu projekta 28.1. apakšpunktā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balstoties uz vidējo atalgojuma līmeni pa mēnešalgu grupām valsts un pašvaldību institūcijās nodarbinātajiem ierēdņiem un darbiniekiem un attiecīgi VARAM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4.3.6.6.  pasākuma reglamentējošos MK noteikumos, un piemērojami atbilstoši šajos MK noteikumos noteiktajām prasībām (tikai pēc attiecīgo 4.3.6.6. pasākuma reglamentējošo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izmaksu attiecināmības nosacījumus un projektu kopējo finansējumu (paredzamais finansējums vidēji no 1 līdz 3 milj. </w:t>
      </w:r>
      <w:r w:rsidR="00000000" w:rsidRPr="00000000" w:rsidDel="00000000">
        <w:rPr>
          <w:i w:val="1"/>
          <w:rtl w:val="0"/>
        </w:rPr>
        <w:t xml:space="preserve">euro</w:t>
      </w:r>
      <w:r w:rsidR="00000000" w:rsidRPr="00000000" w:rsidDel="00000000">
        <w:rPr>
          <w:rtl w:val="0"/>
        </w:rPr>
        <w:t xml:space="preserve">), projektu vadības nodrošināšanai pieejamais finansējums būtu robežās no 19 550 līdz 58 651 </w:t>
      </w:r>
      <w:r w:rsidR="00000000" w:rsidRPr="00000000" w:rsidDel="00000000">
        <w:rPr>
          <w:i w:val="1"/>
          <w:rtl w:val="0"/>
        </w:rPr>
        <w:t xml:space="preserve">euro </w:t>
      </w:r>
      <w:r w:rsidR="00000000" w:rsidRPr="00000000" w:rsidDel="00000000">
        <w:rPr>
          <w:rtl w:val="0"/>
        </w:rPr>
        <w:t xml:space="preserve">(tai skaitā atalgojums, atvaļinājuma pabalsts, veselības apdrošināšanas izmaksas un redzes korekcijas līdzekļu kompensācijas izmaksas, darba devēja 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projektu ieviešanai būtu nepieciešama vismaz projektu vadītāja (39.1. IV A amatu saime, 11. mēnešalgu grupa) un grāmatveža (17 III, mēnešalgu grupa 8) iesaiste, tādejādi, ievērojot iepriekš minēto un vidējo atalgojuma līmeni pa mēnešalgu grupām valsts un pašvaldību institūcijās nodarbinātajiem ierēdņiem un darbiniekiem, šī finansējuma ietvaros projekta īstenošanas laikā (indikatīvi viena  līdz piecu  gadu periodā) atkarībā no projekta kopējām izmaksām vidēji viena projekta ietvaros projekta vadības personāla atalgojumam būtu iespējams piesaistīt finansējumu projekta vadības personāla atlīdzībai indikatīvi 0,2-1,3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nepieciešamību nodrošināt konkurētspējīgu atalgojumu un motivāciju projektu īstenošanā iesaistītajam personālam, lai nodrošinātu kvalitatīvu projektu īstenošanu un pasākumā paredzēto rādītāju sasniegšanu, papildu  finansējums iepriekš minētajam projekta vadības personālam, kā arī papildu personālam (piemēram, iepirkumu speciālists, projekta vadītāja asistents) nepietiekama ESF+ finansējuma gadījumā būtu nodrošināms finansējuma saņēmējam sava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vienkāršoto izmaksu piemērošanu bērnu pieskatīšanas pakalpojumiem, ņemot vērā pasākuma ietvaros paredzēto izmaksu dažādību atbilstoši projektā plānotajām aktivitātēm, pašvaldību atrašanās vietu, jo katrā pašvaldībā vidējās izmaksas uz vienu bērnu, kuri apmeklē privātās pirmsskolas izglītības iestādes un bērnu uzraudzības pakalpojumiem ir atšķirīgas un laika gaitā mainītās. Piemēram, vienas audzēkņa vietas izmaksas pašvaldības pirmsskolas izglītības iestādēs 2022. gadā bērniem no 1,5 līdz 4 gadiem bija robežās no 220 </w:t>
      </w:r>
      <w:r w:rsidR="00000000" w:rsidRPr="00000000" w:rsidDel="00000000">
        <w:rPr>
          <w:i w:val="1"/>
          <w:rtl w:val="0"/>
        </w:rPr>
        <w:t xml:space="preserve">euro </w:t>
      </w:r>
      <w:r w:rsidR="00000000" w:rsidRPr="00000000" w:rsidDel="00000000">
        <w:rPr>
          <w:rtl w:val="0"/>
        </w:rPr>
        <w:t xml:space="preserve">līdz 406,50 </w:t>
      </w:r>
      <w:r w:rsidR="00000000" w:rsidRPr="00000000" w:rsidDel="00000000">
        <w:rPr>
          <w:i w:val="1"/>
          <w:rtl w:val="0"/>
        </w:rPr>
        <w:t xml:space="preserve">euro</w:t>
      </w:r>
      <w:r w:rsidR="00000000" w:rsidRPr="00000000" w:rsidDel="00000000">
        <w:rPr>
          <w:rtl w:val="0"/>
        </w:rPr>
        <w:t xml:space="preserve">, un bērniem, kam nepieciešama obligātā sagatavošana pamatizglītības ieguvei, izmaksas bija robežās no 159,45 </w:t>
      </w:r>
      <w:r w:rsidR="00000000" w:rsidRPr="00000000" w:rsidDel="00000000">
        <w:rPr>
          <w:i w:val="1"/>
          <w:rtl w:val="0"/>
        </w:rPr>
        <w:t xml:space="preserve">euro </w:t>
      </w:r>
      <w:r w:rsidR="00000000" w:rsidRPr="00000000" w:rsidDel="00000000">
        <w:rPr>
          <w:rtl w:val="0"/>
        </w:rPr>
        <w:t xml:space="preserve">līdz 320 </w:t>
      </w:r>
      <w:r w:rsidR="00000000" w:rsidRPr="00000000" w:rsidDel="00000000">
        <w:rPr>
          <w:i w:val="1"/>
          <w:rtl w:val="0"/>
        </w:rPr>
        <w:t xml:space="preserve">euro</w:t>
      </w:r>
      <w:r w:rsidR="00000000" w:rsidRPr="00000000" w:rsidDel="00000000">
        <w:rPr>
          <w:rtl w:val="0"/>
        </w:rPr>
        <w:t xml:space="preserve">. Bērnu pieskatīšanas pakalpojumu iepirkumi veikti tikai dažās pašvaldībās, kas neveido pietiekamu datu kopu, lai to attiecinātu kopumā uz visiem potenciālajiem projektu iesniedzējiem. Faktiskās cenas tiks noteiktas, veicot iepirkumu saskaņā ar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īstenošanas nosacījumi, tostarp projekta īstenošanas termiņš,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ja tai ir pieejami valsts budžeta līdzekļi, pamatojoties uz finansējuma saņēmēja rakstisku avansa pieprasījumu un izvērtējot plānotā avansa apmēru, tā pamatojumu un spēju to izlietot deviņu mēnešu laikā, var piešķirt finansējuma saņēmējam avansu līdz 30% no projektam piešķirtā Eiropas Sociālā fonda Plus finansējuma pēc vienošanās par projekta īstenošanu noslēgšanas, ievērojot, ka avansa un starpposma maksājumu kopsumma nepārsniedz 90% no projektam piešķirtā ESF+ finansējuma. Avansa apmērs noteikts, ievērojot, ka kopumā būtiski kavējas ES kohēzijas politikas programmas 2021.-2027. gadam specifisko atbalsta mērķu un pasākumu uzsākšana un šī pasākuma ietvaros paredzēts atbalsts augstas gatavības projektiem. Avansa izlietošanas termiņš noteikts, ņemot vērā plānoto pasākuma atlases laika grafiku. Avanss finansējuma saņēmējam tiks izmaksāts tikai tad, ja norādītajā termiņā ir iespējams to apgūt, piemēram, piemēram, projekta iesniedzējam ir pabeigts privāto pirmsskolas izglītības pakalpojumu vai bērnu uzraudzības pakalpojumu iepirkums vai noslēgts līgums par šo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bērnu pieskatīšanas pakalpojumiem tiks sniegts granta veidā, ņemot vērā, ka plānotās darbības īstenos pašvaldības, kuru viena no funkcijām saskaņā ar Pašvaldību likuma 4. panta pirmās daļas 4. punktu ir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Eiropas Savienības kohēzijas politikas programmas 2021.–2027. gadam 4.3.6. specifiskā atbalsta mērķa “Veicināt nabadzības vai sociālās atstumtības riskam pakļauto cilvēku, tostarp vistrūcīgāko un bērnu, sociālo integrāciju”  4.3.6.6. pasākums “Bērnu pieskatīšanas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Eiropas Savienības kohēzijas politikas programmas 2021.–2027. gadam 4.3.6. specifiskā atbalsta mērķa “Veicināt nabadzības vai sociālās atstumtības riskam pakļauto cilvēku, tostarp vistrūcīgāko un bērnu, sociālo integrāciju”  4.3.6.6. pasākums “Bērnu pieskatīšanas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 (likumiskie pārstāvji), kuri audzina pirmsskolas vecuma bērnus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pašvaldībām privāto pirmsskolas izglītības un bērnu uzraudzības pakalpojumu iegādei, tiks samazināta rinda uz pašvaldības PII pirmsskolas vecuma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izveidotām iestādēm, īstenojot projektus, ir jāņem vērā noteikumu projektā noteiktais pieejamais ESF+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pozitīvi ietekmēs privāto pirmsskolas izglītības pakalpojumu un bērnu uzraudzības pakalpojumu sniedzējus.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bērnu pieskatīšanas pakalpojumu pieejamību, tiks veicināta dzimumu līdzsvarota līdzdalība darba tirgū, un tiks mazināti šķēršļi nodarbinātībai, sniedzot atbalstu nelabvēlīgākā situācijā esošām personām, lai uzsāktu darba attiecības vai iesaistītos aktivitātēs, kas veicina nodarbinātību un labāku darba un privātās dzīves līdzsvaru. Kā arī plānotais atbalsts sniegs pozitīvu ietekmi uz bērnu pieskatīšanas pakalpojumu nozarē nodarbinātajiem.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1 370 216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2 740 431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3 039 588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1 370 216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2 740 431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3 039 588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1 612 019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3 575 986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1 370 216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2 740 431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3 039 588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attiecināmais finansējums ir ne mazāks kā 19 140 000 </w:t>
            </w:r>
            <w:r w:rsidR="00000000" w:rsidRPr="00000000" w:rsidDel="00000000">
              <w:rPr>
                <w:sz w:val="24"/>
                <w:i w:val="1"/>
                <w:rtl w:val="0"/>
              </w:rPr>
              <w:t xml:space="preserve">euro</w:t>
            </w:r>
            <w:r w:rsidR="00000000" w:rsidRPr="00000000" w:rsidDel="00000000">
              <w:rPr>
                <w:sz w:val="24"/>
                <w:rtl w:val="0"/>
              </w:rPr>
              <w:t xml:space="preserve">, tai skaitā ESF+ finansējums 16 269 000 </w:t>
            </w:r>
            <w:r w:rsidR="00000000" w:rsidRPr="00000000" w:rsidDel="00000000">
              <w:rPr>
                <w:sz w:val="24"/>
                <w:i w:val="1"/>
                <w:rtl w:val="0"/>
              </w:rPr>
              <w:t xml:space="preserve">euro </w:t>
            </w:r>
            <w:r w:rsidR="00000000" w:rsidRPr="00000000" w:rsidDel="00000000">
              <w:rPr>
                <w:sz w:val="24"/>
                <w:rtl w:val="0"/>
              </w:rPr>
              <w:t xml:space="preserve">(no tā elastības finansējums – 2 566 843 </w:t>
            </w:r>
            <w:r w:rsidR="00000000" w:rsidRPr="00000000" w:rsidDel="00000000">
              <w:rPr>
                <w:sz w:val="24"/>
                <w:i w:val="1"/>
                <w:rtl w:val="0"/>
              </w:rPr>
              <w:t xml:space="preserve">euro</w:t>
            </w:r>
            <w:r w:rsidR="00000000" w:rsidRPr="00000000" w:rsidDel="00000000">
              <w:rPr>
                <w:sz w:val="24"/>
                <w:rtl w:val="0"/>
              </w:rPr>
              <w:t xml:space="preserve">) un nacionālais finansējums (pašvaldību finansējums) – ne mazāks kā 2 871 000 </w:t>
            </w:r>
            <w:r w:rsidR="00000000" w:rsidRPr="00000000" w:rsidDel="00000000">
              <w:rPr>
                <w:sz w:val="24"/>
                <w:i w:val="1"/>
                <w:rtl w:val="0"/>
              </w:rPr>
              <w:t xml:space="preserve">euro </w:t>
            </w:r>
            <w:r w:rsidR="00000000" w:rsidRPr="00000000" w:rsidDel="00000000">
              <w:rPr>
                <w:sz w:val="24"/>
                <w:rtl w:val="0"/>
              </w:rPr>
              <w:t xml:space="preserve">(no tā elastības finansējums – 452 972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pasākuma ESF+ daļa 85% apmērā – 16 269 000 </w:t>
            </w:r>
            <w:r w:rsidR="00000000" w:rsidRPr="00000000" w:rsidDel="00000000">
              <w:rPr>
                <w:sz w:val="24"/>
                <w:i w:val="1"/>
                <w:rtl w:val="0"/>
              </w:rPr>
              <w:t xml:space="preserve">euro </w:t>
            </w:r>
            <w:r w:rsidR="00000000" w:rsidRPr="00000000" w:rsidDel="00000000">
              <w:rPr>
                <w:sz w:val="24"/>
                <w:rtl w:val="0"/>
              </w:rPr>
              <w:t xml:space="preserve">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līdz 2025. gada 31. decembrim ir ne mazāks kā 16 120 185 euro, tai skaitā ESF+ finansējums 13 702 157 </w:t>
            </w:r>
            <w:r w:rsidR="00000000" w:rsidRPr="00000000" w:rsidDel="00000000">
              <w:rPr>
                <w:sz w:val="24"/>
                <w:i w:val="1"/>
                <w:rtl w:val="0"/>
              </w:rPr>
              <w:t xml:space="preserve">euro </w:t>
            </w:r>
            <w:r w:rsidR="00000000" w:rsidRPr="00000000" w:rsidDel="00000000">
              <w:rPr>
                <w:sz w:val="24"/>
                <w:rtl w:val="0"/>
              </w:rPr>
              <w:t xml:space="preserve">un pašvaldību finansējums ne mazāks kā 2 418 028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finansējumu plānots pēc 2025. gada 31. decembra, kura ietekme uz valsts budžetu plānota 2026.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tai skaitā nepieciešamais ESF+ finansējums 85% apmērā un pašvaldību finansējums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16 269 000 + 2 871 000 = 19 140 000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gadā: kopējais finansējums ir 10% jeb 1 612 019 </w:t>
            </w:r>
            <w:r w:rsidR="00000000" w:rsidRPr="00000000" w:rsidDel="00000000">
              <w:rPr>
                <w:sz w:val="24"/>
                <w:i w:val="1"/>
                <w:rtl w:val="0"/>
              </w:rPr>
              <w:t xml:space="preserve">euro </w:t>
            </w:r>
            <w:r w:rsidR="00000000" w:rsidRPr="00000000" w:rsidDel="00000000">
              <w:rPr>
                <w:sz w:val="24"/>
                <w:rtl w:val="0"/>
              </w:rPr>
              <w:t xml:space="preserve">(bez elastības finansējuma 16 120 185 / 100 * 10), no tā ESF+ finansējums – 1 370 216 </w:t>
            </w:r>
            <w:r w:rsidR="00000000" w:rsidRPr="00000000" w:rsidDel="00000000">
              <w:rPr>
                <w:sz w:val="24"/>
                <w:i w:val="1"/>
                <w:rtl w:val="0"/>
              </w:rPr>
              <w:t xml:space="preserve">euro</w:t>
            </w:r>
            <w:r w:rsidR="00000000" w:rsidRPr="00000000" w:rsidDel="00000000">
              <w:rPr>
                <w:sz w:val="24"/>
                <w:rtl w:val="0"/>
              </w:rPr>
              <w:t xml:space="preserve">, pašvaldību finansējums – 241 803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kopējais finansējums ir 20% jeb 3 224 037 </w:t>
            </w:r>
            <w:r w:rsidR="00000000" w:rsidRPr="00000000" w:rsidDel="00000000">
              <w:rPr>
                <w:sz w:val="24"/>
                <w:i w:val="1"/>
                <w:rtl w:val="0"/>
              </w:rPr>
              <w:t xml:space="preserve">euro </w:t>
            </w:r>
            <w:r w:rsidR="00000000" w:rsidRPr="00000000" w:rsidDel="00000000">
              <w:rPr>
                <w:sz w:val="24"/>
                <w:rtl w:val="0"/>
              </w:rPr>
              <w:t xml:space="preserve">(bez elastības finansējuma 16 120 185 / 100 * 20), no tā ESF+ finansējums – 2 740 431 </w:t>
            </w:r>
            <w:r w:rsidR="00000000" w:rsidRPr="00000000" w:rsidDel="00000000">
              <w:rPr>
                <w:sz w:val="24"/>
                <w:i w:val="1"/>
                <w:rtl w:val="0"/>
              </w:rPr>
              <w:t xml:space="preserve">euro</w:t>
            </w:r>
            <w:r w:rsidR="00000000" w:rsidRPr="00000000" w:rsidDel="00000000">
              <w:rPr>
                <w:sz w:val="24"/>
                <w:rtl w:val="0"/>
              </w:rPr>
              <w:t xml:space="preserve">, pašvaldību finansējums – 483 606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kopējais finansējums ir 3 575 986 </w:t>
            </w:r>
            <w:r w:rsidR="00000000" w:rsidRPr="00000000" w:rsidDel="00000000">
              <w:rPr>
                <w:sz w:val="24"/>
                <w:i w:val="1"/>
                <w:rtl w:val="0"/>
              </w:rPr>
              <w:t xml:space="preserve">euro</w:t>
            </w:r>
            <w:r w:rsidR="00000000" w:rsidRPr="00000000" w:rsidDel="00000000">
              <w:rPr>
                <w:sz w:val="24"/>
                <w:rtl w:val="0"/>
              </w:rPr>
              <w:t xml:space="preserve">, no tā ESF+ finansējums – 3 039 588 </w:t>
            </w:r>
            <w:r w:rsidR="00000000" w:rsidRPr="00000000" w:rsidDel="00000000">
              <w:rPr>
                <w:sz w:val="24"/>
                <w:i w:val="1"/>
                <w:rtl w:val="0"/>
              </w:rPr>
              <w:t xml:space="preserve">euro</w:t>
            </w:r>
            <w:r w:rsidR="00000000" w:rsidRPr="00000000" w:rsidDel="00000000">
              <w:rPr>
                <w:sz w:val="24"/>
                <w:rtl w:val="0"/>
              </w:rPr>
              <w:t xml:space="preserve">, pašvaldību finansējums – 536 398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kopējais finansējums ir 3 575 986 </w:t>
            </w:r>
            <w:r w:rsidR="00000000" w:rsidRPr="00000000" w:rsidDel="00000000">
              <w:rPr>
                <w:sz w:val="24"/>
                <w:i w:val="1"/>
                <w:rtl w:val="0"/>
              </w:rPr>
              <w:t xml:space="preserve">euro</w:t>
            </w:r>
            <w:r w:rsidR="00000000" w:rsidRPr="00000000" w:rsidDel="00000000">
              <w:rPr>
                <w:sz w:val="24"/>
                <w:rtl w:val="0"/>
              </w:rPr>
              <w:t xml:space="preserve">, no tā ESF+ finansējums – 3 039 588 </w:t>
            </w:r>
            <w:r w:rsidR="00000000" w:rsidRPr="00000000" w:rsidDel="00000000">
              <w:rPr>
                <w:sz w:val="24"/>
                <w:i w:val="1"/>
                <w:rtl w:val="0"/>
              </w:rPr>
              <w:t xml:space="preserve">euro</w:t>
            </w:r>
            <w:r w:rsidR="00000000" w:rsidRPr="00000000" w:rsidDel="00000000">
              <w:rPr>
                <w:sz w:val="24"/>
                <w:rtl w:val="0"/>
              </w:rPr>
              <w:t xml:space="preserve">, pašvaldību finansējums – 536 398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kopējais finansējums ir 3 575 986 </w:t>
            </w:r>
            <w:r w:rsidR="00000000" w:rsidRPr="00000000" w:rsidDel="00000000">
              <w:rPr>
                <w:sz w:val="24"/>
                <w:i w:val="1"/>
                <w:rtl w:val="0"/>
              </w:rPr>
              <w:t xml:space="preserve">euro</w:t>
            </w:r>
            <w:r w:rsidR="00000000" w:rsidRPr="00000000" w:rsidDel="00000000">
              <w:rPr>
                <w:sz w:val="24"/>
                <w:rtl w:val="0"/>
              </w:rPr>
              <w:t xml:space="preserve">, no tā ESF+ finansējums – 3 039 588 </w:t>
            </w:r>
            <w:r w:rsidR="00000000" w:rsidRPr="00000000" w:rsidDel="00000000">
              <w:rPr>
                <w:sz w:val="24"/>
                <w:i w:val="1"/>
                <w:rtl w:val="0"/>
              </w:rPr>
              <w:t xml:space="preserve">euro</w:t>
            </w:r>
            <w:r w:rsidR="00000000" w:rsidRPr="00000000" w:rsidDel="00000000">
              <w:rPr>
                <w:sz w:val="24"/>
                <w:rtl w:val="0"/>
              </w:rPr>
              <w:t xml:space="preserve">, pašvaldību finansējums – 536 398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kopējais finansējums ir 3 575 986 </w:t>
            </w:r>
            <w:r w:rsidR="00000000" w:rsidRPr="00000000" w:rsidDel="00000000">
              <w:rPr>
                <w:sz w:val="24"/>
                <w:i w:val="1"/>
                <w:rtl w:val="0"/>
              </w:rPr>
              <w:t xml:space="preserve">euro</w:t>
            </w:r>
            <w:r w:rsidR="00000000" w:rsidRPr="00000000" w:rsidDel="00000000">
              <w:rPr>
                <w:sz w:val="24"/>
                <w:rtl w:val="0"/>
              </w:rPr>
              <w:t xml:space="preserve">, no tā ESF+ finansējums – 3 039 588 </w:t>
            </w:r>
            <w:r w:rsidR="00000000" w:rsidRPr="00000000" w:rsidDel="00000000">
              <w:rPr>
                <w:sz w:val="24"/>
                <w:i w:val="1"/>
                <w:rtl w:val="0"/>
              </w:rPr>
              <w:t xml:space="preserve">euro</w:t>
            </w:r>
            <w:r w:rsidR="00000000" w:rsidRPr="00000000" w:rsidDel="00000000">
              <w:rPr>
                <w:sz w:val="24"/>
                <w:rtl w:val="0"/>
              </w:rPr>
              <w:t xml:space="preserve">, pašvaldību finansējums – 536 398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piesaistot personālu uz darba līguma pamata vai nodrošinot projekta pasākumu īstenošanu ārpakalpojuma ietvaros. Projekta vadības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finansējums tiks piesaistīts no 74. resora “Gadskārtējā valsts budžeta izpildes procesā pārdalāmais finansējums” 80.00.00 valsts budžeta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Pašvaldības un plānošanas reģioni, Centrālā un finanšu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tiks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komentāri, iebildumi un priekšlikumi, tad attiecīgi tie tiks vērtēti noteikumu projekta saskaņošanas procesā, un attiecīgi tiks precizēts noteikumu projekts un anotācija pirms noteikumu projekta iesniegšanas izskatīšanai MK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un finanšu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sniegts atbalsts pašvaldībām privāto pirmsskolas izglītības pakalpojumu iegādei un bērnu uzraudzības pakalpojumu iegādei, lai mazinātu bērnu rindu uz PII un veicinātu pašvaldības pirmsskolas izglītības pakalpojumu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veicināta pašvaldību pirmsskolas izglītības pakalpojumu un bērnu uzraudzības pakalpojumu pieejamība, radot vienlīdzīgas iespējas vecākiem (likumiskajiem pārstāvjiem) pilnvērtīgi iesaistīties darba tirgū un apmācībās. Projekta iesniedzējs izvērtē iespēju pašvaldības saistošajos noteikumos paredzēt priekšrocības uzņemšanai pašvaldības PII pirmsskolas vecuma bērniem no sociāli un ekonomiski mazaizsargātajām personu grupām, tādējādi veicinot sociālo iekļaušanu. Priekšrocību iekļaušana pašvaldības saistošajos noteikumos paaugstina projekta iesnieguma vērtējumu projektu iesniegumu atlases posmā.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ietekme uz horizontālo principu “Vienlīdzība, iekļaušana, nediskriminācija un pamattiesību ievērošana” ievērošanai. Noteikumu projektā paredzēts, ka finansējuma saņēmējs  uzkrāj datus par projekta ietekmi uz horizontālo principa rādītāju. Lai veicinātu personu ar invaliditāti vienlīdzīgas iespējas un tiesības, projektu ietvaros paredzēts īstenot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horizontālo principu “Vienlīdzība, iekļaušana, nediskriminācija un pamattiesību ievērošana” ievērošanai. Noteikumu projektā paredzēts, ka finansējuma saņēmējs  uzkrāj datus par projekta ietekmi uz horizontālo principa rādītāju. Lai veicinātu dzimumu līdztiesību, projektos tiks paredzētas specifiskas darbības, kas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horizontālo principu (turpmāk – HP) “Vienlīdzība, iekļaušana, nediskriminācija un pamattiesību ievērošana”. Projektu iesniegumu  vērtēšanā tiks vērtēts kvalitātes kritērijs HP “Vienlīdzība, iekļaušana, nediskriminācija un pamattiesību ievērošana”, kura izpilde vērtēšanā dod projektam papildu punktus, kas veicinās tādu projektu atlasi, kuri sniegs ieguldījumu HP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HP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HP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pieskatīšanas pakalpojumu saņēmušās personas (VINP07);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saņēmušās sociālās atstumtības un nabadzības riskam pakļautās personas (VINP04).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dati, kur vien tas ir iespējams, tiks sniegti dalījumā pēc dzimuma, vecuma, invaliditātes, valstspiederības u.c. dalījuma - proti, finansējuma saņēmējs uzkrās datus par bērnu pieskatīšanas pakalpojumus saņēmušajām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 tai skaitā kārtību, kādā sadarbības iestāde pārbauda pārskatu par projekta dalībniekiem.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23-TA-873</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23-TA-873</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anotācija_(ex_ante)_23-TA-873.docx</dc:title>
</cp:coreProperties>
</file>

<file path=docProps/custom.xml><?xml version="1.0" encoding="utf-8"?>
<Properties xmlns="http://schemas.openxmlformats.org/officeDocument/2006/custom-properties" xmlns:vt="http://schemas.openxmlformats.org/officeDocument/2006/docPropsVTypes"/>
</file>