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3.1.1.specifiskā atbalsta mērķa “Attīstīt ilgtspējīgu, pret klimatu izturīgu, inteliģentu, drošu un vairākveidu TEN-T infrastruktūru” 3.1.1.5. pasākuma “Nacionālās nozīmes centru maģistrālo ielu un esošo maršrutu attīstība” (turpmāk – Pasākums) īstenošanas noteikumi” (turpmāk – Noteikumu projekts) izstrādāts, pamatojoties uz Eiropas Savienības (turpmāk – ES) fondu 2021.–2027. 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tiks sniegts atbalsts nacionālās nozīmes attīstības centriem (Jelgava, Jēkabpils, Jūrmala, Liepāja un Ventspils), veicot ieguldījumus nacionālās nozīmes centru ielās, kuras ietilpst autoceļu maršrutos, kuri ietilpst Eiropas transporta tīkla (turpmāk – TEN-T) pamattīkla vai vispārējā tīkla maršrutos, nodrošinot atsevišķu pilsētu daļu efektīvu savstarpējo sasaisti un sasaisti ar TEN-T tīklu, alternatīvu kravas ceļu izbūvi, pārbūvi vai modernizāciju.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nacionālās nozīmes centru maģistrālo ielu un esošo maršrutu attīstība, kas nodrošina atsevišķu pilsētu daļu efektīvu savstarpējo sasaisti un sasaisti ar TEN-T, alternatīvu kravas ceļu izbūve, pārbūve vai modernizācija, veicot ieguldījumus nacionālās nozīmes centru ielās, kas ietilpst TEN-T pamattīkla vai vispārējā tīkla maršrutos.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2014.–2020. gada plānošanas periodā Darbības programmas “Izaugsme un nodarbinātība” 6.1.4. specifiskā atbalsta mērķa “Pilsētu infrastruktūras sasaiste ar TEN-T tīklu” tika īstenots 6.1.4.2. pasākums “Nacionālas nozīmes attīstības centru integrēšana TEN-T tīklā” (turpmāk – 6.1.4.2.pasākums), kura mērķis bija novērst infrastruktūras pārrāvumus pilsētās un radīt alternatīvu maršrutu tranzīta un kravas transportam, atdalot no vietējās nozīmes sabiedriskā transporta plūsmām. 6.1.4.2. pasākuma ietvaros atbalstu saņēma nacionālas nozīmes attīstības centra – Daugavpils, Jelgavas, Jēkabpils, Liepājas, Rēzeknes, Valmieras un Ventspils – pašvaldība vai tās izveidota iestāde un kopumā tika īstenoti 9 projekti (7 valstspilsētās) izbūvējot, pārbūvējot vai modernizējot alternatīvo kravas ceļu, ielu un pārvadu sasaistei ar TEN-T tīklu -  26,6 km garumā.  Izbūvējot jaunas maģistrālās ielas vai attīstot esošos maršrutus, tranzīta un kravas transportam tika izveidota/izbūvēta kvalitatīva transporta infrastruktūra, kas nodrošina savienojamību ar TEN-T. Papildu ieguvums bija arī iedzīvotājiem, jo novirzot kravas transporta plūsmu no pilsētas centra un blīvi apdzīvotām pilsētas daļām, satiksme pilsētā ir drošāka, samazinās gaisa piesārņojums un trokšņa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kopumā 6.1.4.2. pasākuma īstenošana ir sniegusi būtisku ieguldījumu nacionālas nozīmes attīstības centru savienojumu uzlabošanai ar TEN-T tīklu, atbilstoši Eiropas Komisijas rekomendācijām nepieciešams turpināt veikt ieguldījums nacionālas nozīmes attīstības centru/valstpilsētu (izņemot Rīgas valstspilsētu) TEN-T maršrutos ietilpstošo autoceļu posmos (TEN-T autoceļu turpinājumos valstpilsētas teritorijā), lai nodrošinātu atsevišķu pilsētu daļu efektīvu savstarpējo sasaisti un sasaisti ar TEN-T, veicot alternatīvu kravas ceļu izbūvi, pārbūvi vai modernizāciju, kā arī vienlaikus nodrošinot atbilstību TEN-T prasībām saskaņā ar TEN-T regulu, kas stājās spēkā 2024. gada 18.jūlijā, tas ir, </w:t>
      </w:r>
      <w:r w:rsidR="00000000" w:rsidRPr="00000000" w:rsidDel="00000000">
        <w:rPr>
          <w:i w:val="1"/>
          <w:rtl w:val="0"/>
        </w:rPr>
        <w:t xml:space="preserve">Eiropas Parlamenta un Padomes Regula (ES) 2024/1679 (2024. gada 13. jūnijs) par Savienības pamatnostādnēm Eiropas transporta tīkla attīstībai un ar ko groza Regulas (ES) 2021/1153 un (ES) Nr. 913/2010 un atceļ Regulu (ES) Nr. 1315/2013</w:t>
      </w:r>
      <w:r w:rsidR="00000000" w:rsidRPr="00000000" w:rsidDel="00000000">
        <w:rPr>
          <w:rtl w:val="0"/>
        </w:rPr>
        <w:t xml:space="preserve"> (turpmāk – TEN-T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programmā 2021.– 2027. gadam (turpmāk – Programma) ir identificētas sekojošas galvenās problēmas un politikas risinājumi, kas attiecas uz autoceļu un ielu tīkla attīstību, tai skaitā TEN-T attīstības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kvalitāte joprojām ir zemāka par ES vidējo. Neraugoties uz līdzšinējiem ieguldījumiem pilsētām trūkst kvalitatīvas apvedceļu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CSNg bojā gājušo skaitā (uz milj. iedz.) Latvijai vieni no augstākiem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CSNg smagi ievainoto skaits pieaug.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rekomendācijām ir jāturpina TEN-T infrastruktūras un savienojumu attīstība pilsētās, novirzot satiksmi, tai skaitā kravu pārvadājumus, no blīvi apdzīvotām pilsētas daļām, kā arī veidojot šos maršrutus drošus un bez aizkavējumiem visiem satiksmes dalībniekiem. Latvijas kontekstā, lai nodrošinātu starptautisko savienojamību un iekļaušanos TEN-T tīklā, jāturpina nacionālo nozīmes centru transporta infrastruktūras attīstība. Investīciju rezultātā jāveicina TEN-T pamattīklā vai vispārējā tīklā esošo nacionālo nozīmes centru maģistrālo ielu un esošo maršrutu attīstība, kas nodrošinās atsevišķu pilsētu daļu savstarpējo sasaisti, alternatīvu kravas ceļu izbūvi, pārbūvi un modernizāciju, vienlaikus veicot ieguldījumus valstspilsētu transporta infrastruktūrā atbilstoši pašvaldību teritoriju attīstības stratēģijām (pašvaldību attīstības programmām).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ES fondu 2014.-2020.gada plānošanas periodā veiktos ieguldījumus nacionālas nozīmes attīstības centru savienojumu uzlabošanai ar TEN-T, Pasākums paredz veikt ieguldījumus TEN-T pamattīkla vai vispārējā tīkla maršrutos ietilpstošu nacionālo nozīmes centru maģistrālo ielu un esošo maršrutu attīstībā, kas nodrošina atsevišķu pilsētu daļu efektīvu savstarpējo sasaisti un sasaisti ar TEN-T tīklu, alternatīvu kravas ceļu izbūvi, pārbūvi vai modernizāciju.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kohēzijas politikas programmas 2021.–2027. gadam (turpmāk – Programma) 3.1. prioritātes “Ilgtspējīga TEN-T infrastruktūra” (turpmāk – 3.1.prioritāte) investīciju tvērumam – ieguldījumi veicami TEN-T (pamattīklā vai visaptverošajā tīklā). Savukārt attiecībā uz ieguldījumiem valstspilsētās jeb nacionālās nozīmes centros, Pasākuma ietvaros plānotie ieguldījumi ir atblastāmi un veicami tajās valstpilsētu (izņemot Rīgas valstspilsētu) ielās, kuras ietilpst  autoceļu maršrutos, kuri ietilpst TEN-T maršrutos (TEN-T maršruts valstpilsētas teritorijā), vienlaikus nodrošinot atbilstību TEN-T prasībām saskaņā ar TEN-T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TEN-T maršruti turpinājumi valstpilsētu teritorijās, ir noteikti ievērojot TEN-T regulu, kurā iezīmēti TEN-T ietilpstoši autoceļu posmi, tai skaitā to turpinājumi valstpilsētu teritorijās un atbilstoši Ministru kabineta 2009. gada 29. septembra noteikumiem Nr. 1104 “</w:t>
      </w:r>
      <w:r w:rsidR="00000000" w:rsidRPr="00000000" w:rsidDel="00000000">
        <w:rPr>
          <w:i w:val="1"/>
          <w:rtl w:val="0"/>
        </w:rPr>
        <w:t xml:space="preserve">Noteikumi par valsts autoceļu un valsts autoceļu maršrutā ietverto pašvaldībām piederošo autoceļu posmu sarakstiem</w:t>
      </w:r>
      <w:r w:rsidR="00000000" w:rsidRPr="00000000" w:rsidDel="00000000">
        <w:rPr>
          <w:rtl w:val="0"/>
        </w:rPr>
        <w:t xml:space="preserve">” (1.pielikumam) (turpmāk – Noteikumi Nr.1104)[1].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veiktos ES fondu ieguldījumus nacionālās nozīmes attīstības centru integrēšanai TEN-T tīklā, pirms Ministru kabineta (turpmāk – MK) noteikumu par Pasākuma īstenošanu izstrādāšanas, tika veikts paplašinātais sākotnējais novērtējums (turpmāk – Novērtējums), kura mērķis bija investīciju transporta infrastruktūras attīstībā efektivitātes noteikšana, tai skaitā noteikt potenciālās mērķteritorijas atbilstoši 3.1.prioritātes tvērumam un sniegt izvērtējumu Pasākuma ieviešanas risinājumam, kas ietver projektu iesniegumu atlases veidu izvērtējumu un priekšlikumus, finansējuma saņēmēju un projektu atlases principus, kā arī noteikt  projektus ar lielāko ekonomisko ieguvumu.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Programmai, Noteikumu projekts nosaka, ka Pasākuma mērķteritorijas un finansējuma saņēmēji ir nacionālās nozīmes centri (valstspilsētas, izņemot Rīgu), kuros pilsētas teritorijā ir TEN-T maršrutos ietilpstošo autoceļu posms/i (TEN-T autoceļu turpinājums valstpilsētas teritorijā) – Jelgavas, Jēkabpils, Jūrmalas, Liepājas un Ventspils – pašvaldība vai tās izveidota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potenciālo finansējuma saņēmēja viedokli, tika veikta Liepājas, Ventspils, Jūrmalas, Jelgavas un Jēkabpils pašvaldību (valstspilsētas, kurās atrodas TEN-T autoceļu turpinājums valstpilsētas teritorijā) aptauja, tai skaitā aptaujas ietvaros potenciāli atbalsta saņēmēji tika informēti par to, kāda tipa aktivitātes Pasākuma ietvaros varētu tikt atbalstītas un kādas varētu būt augstākās projektu prioritātes un kritēriji, pēc kuriem projekti tiks izvēlēti.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ietvaros aptaujātās pašvaldības sniedza transporta investīciju/projektu idejas, kas varētu tikt īstenotas Pasākuma ietvaros. Lai novērtētu Pasākuma sākotnējo ietekmi tika veikta iesniegto projektu ideju analīze, izmantojot izvērtējuma ietvaros izvirzītos specifiskos nosacījumus atbalstāmajiem projektiem. Pašvaldību iesniegto projektu ideju analīze norāda, ka Pasākuma mērķiem atbilst šādas Pašvaldības un to iesniegtās projektu idejas (investīciju nepieciešamības), kuras īstenojot pastāv iespēja sasniegt Pasākuma mērķi un vēlamos iznākumus[2]: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Jelgava</w:t>
      </w:r>
      <w:r w:rsidR="00000000" w:rsidRPr="00000000" w:rsidDel="00000000">
        <w:rPr>
          <w:rtl w:val="0"/>
        </w:rPr>
        <w:t xml:space="preserve">. Pasākuma ietvaros Jelgavas valstspilsētā plānots īstenot Miera ielas pārbūvi posmā no Zemeņu ielas līdz Aizsargu ielas rotācijas aplim, ietverot inženiertīklu pārbūvi, ietvju un veloceliņu izbūvi, apgaismojuma pārbūvi, kā arī krustojumu pārbūvi par rotācijas apļiem. Projekta rezultātā tiks uzlabota transporta infrastruktūras kvalitāte, kā arī būtiski uzlabosies Jelgavas valstspilsētas apkaimju (Sieramuižas un Rosības) sasaiste ar Jelgavas valstspilsētas centru un satiksmes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u w:val="single"/>
          <w:rtl w:val="0"/>
        </w:rPr>
        <w:t xml:space="preserve"> Jēkabpils</w:t>
      </w:r>
      <w:r w:rsidR="00000000" w:rsidRPr="00000000" w:rsidDel="00000000">
        <w:rPr>
          <w:rtl w:val="0"/>
        </w:rPr>
        <w:t xml:space="preserve">. Pasākuma ietvaros Jēkabpils valstspilsētā plānots īstenot Varoņu, Ventas un Daugavpils ielu pārbūves valsts galvenā autoceļa A6 maršrutā. Projekta rezultātā, uzlabojot infrastruktūras kvalitāti, uzlabosies Jēkabpils apkaimju savstarpējā sasaiste, kā arī satiksmes drošība, nodalot gājēju plūsmu no motorizētā transporta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Jūrmala</w:t>
      </w:r>
      <w:r w:rsidR="00000000" w:rsidRPr="00000000" w:rsidDel="00000000">
        <w:rPr>
          <w:rtl w:val="0"/>
        </w:rPr>
        <w:t xml:space="preserve">. Pasākuma ietvaros Jūrmalas valstspilsētā plānots pārbūvēt autoceļa A10 posmu gan pirms iebraukšanas Priedaines satiksmes mezglā, gan arī nobrauktuvē no Jūrmalas virzienā uz Ventspili, gan uzbrauktuvē no A10 posma uz Rīga-Jūrmala šosejas virzienā uz Rīgu. Projekta rezultātā, modernizējot autoceļa A10 transporta infrastruktūru, tiks veicināta TEN-T sasaiste ar Jūrmalas pilsētas centru tiem satiksmes dalībniekiem, kuru brauciena sākuma posms atrodas Lielupes upes labā krasta pusē tādās apdzīvotajās vietās kā Spuņciems, Egļuciems, Varkaļi, Pērnciems un Straupciems, tai skaitā uzlabota satiksmes drošība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Liepāja</w:t>
      </w:r>
      <w:r w:rsidR="00000000" w:rsidRPr="00000000" w:rsidDel="00000000">
        <w:rPr>
          <w:rtl w:val="0"/>
        </w:rPr>
        <w:t xml:space="preserve">. Pasākuma ietvaros Liepājas valstspilsētā plānota Ādu ielas – Ganību ielas – Zirņu ielas krustojuma pārbūve pilsētas Vecliepājas apkaimē. Projekta rezultātā, uzlabojot infrastruktūras kvalitāti, uzlabosies A11 sasaiste ar Liepājas valstspilsētas centru, novērstas transporta infrastruktūras šaurās vietas, kā arī uzlabota satiksmes drošība, nodalot gājēju plūsmu no motorizētā transporta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Ventspils</w:t>
      </w:r>
      <w:r w:rsidR="00000000" w:rsidRPr="00000000" w:rsidDel="00000000">
        <w:rPr>
          <w:rtl w:val="0"/>
        </w:rPr>
        <w:t xml:space="preserve">. Pasākuma ietvaros Ventspils valstspilsētā plānota Sarkanmuižas dambja/ Brīvības ielas krustojuma pārbūve un Sarkanmuižas dambja / Lielā prospekta krustojuma luksoforu sistēmas uzlabojumi, un Paralēlās papildus uzgaidīšanas joslas izbūve Prāmju ielā. Projekta rezultātā, uzlabojot infrastruktūras kvalitāti, uzlabosies A10 sasaiste ar Ventspils ostas termināļiem, kā arī novērstas transporta infrastruktūras šaurās vietas un uzlabota satiksmes 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Pasākumam plānotais finansējums ir 18 933 112 </w:t>
      </w:r>
      <w:r w:rsidR="00000000" w:rsidRPr="00000000" w:rsidDel="00000000">
        <w:rPr>
          <w:i w:val="1"/>
          <w:rtl w:val="0"/>
        </w:rPr>
        <w:t xml:space="preserve">euro</w:t>
      </w:r>
      <w:r w:rsidR="00000000" w:rsidRPr="00000000" w:rsidDel="00000000">
        <w:rPr>
          <w:rtl w:val="0"/>
        </w:rPr>
        <w:t xml:space="preserve">, tai skaitā Kohēzijas fonda finansējums 16 093 145</w:t>
      </w:r>
      <w:r w:rsidR="00000000" w:rsidRPr="00000000" w:rsidDel="00000000">
        <w:rPr>
          <w:i w:val="1"/>
          <w:rtl w:val="0"/>
        </w:rPr>
        <w:t xml:space="preserve"> euro</w:t>
      </w:r>
      <w:r w:rsidR="00000000" w:rsidRPr="00000000" w:rsidDel="00000000">
        <w:rPr>
          <w:rtl w:val="0"/>
        </w:rPr>
        <w:t xml:space="preserve"> un nacionālais līdzfinansējums (pašvaldību finansējums) – 2 839 967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finansējums Noteikumu projektā norādīts, ievērojot plānotos grozījumus Programmā, kas uz Noteikumu projekta izstrādes brīdi ir saskaņošanas procesā un kas paredz izmaiņas Pasākuma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pasākuma ietvaros pieejamais maksimālais Kohēzijas fonda finansējums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Jelgavai – 5 888 812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Jūrmalai – 1 574 212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Jēkabpilij – 7 063 716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Liepājai – 375 712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Ventspilij – 1 190 692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ietvaros projektiem pieejamo finansējumu un plānotos valstspilsētu ieguldījumus transporta infrastruktūrā, kā arī iespējamo preču/pakalpojumu sadārdzinājumu būvniecības nozarē, tai skaitā, lai samazināt cenu izmaiņu (inflācijas vai deflācijas) riskus, Noteikumu projekts paredz, ka projekta iesniedzējs projekta īstenošanai nepieciešamības gadījumā var piesaistīt papildu publiskos līdzekļus attiecināmo izmaksu segšanai (piemēram, pašvaldības finansējumu vai pašvaldības aizņēmumu Valsts kasē, ievērojot gadskārtējā valsts budžeta likumā noteiktos aizņemšanās mērķus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Pasākumā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līdz 2029. gada beigām ir plānots sasniegt šādu iznākuma rādītāju, sasniedzot iznākuma rādītāju – jaunu vai modernizētu autoceļu garums – TEN-T – 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plānotais sasniedzamais iznākuma rādītājs dalījumā pa valstspilsētām: Jelgava - ≈ 1,25 km; Jūrmala – ≈0,80 km, Jēkabpils – ≈3,52 km, Liepāja – ≈0,08 km, Ventspils – ≈0,35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projekta iesniedzējs ir nacionālas nozīmes attīstības centra – Jelgavas, Jēkabpils, Jūrmalas, Liepājas un Ventspils – pašvaldība vai tās izveidota iestāde. Projekta iesniedzējs ir pēc projekta apstiprināšanas ir arī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Pasākuma ietvaros attiecināmās izmaksas ir pakārtotas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Programmas 3.1.prioritātes “Ilgtspējīga TEN-T infrastruktūra” noteiktajam intervences kodam: Nr. 87: “Tikko uzbūvētas vai modernizētas automaģistrāles un ceļi – TEN-T pamattīkls” (finansējums indikatīvi 10 728 763 </w:t>
      </w:r>
      <w:r w:rsidR="00000000" w:rsidRPr="00000000" w:rsidDel="00000000">
        <w:rPr>
          <w:i w:val="1"/>
          <w:rtl w:val="0"/>
        </w:rPr>
        <w:t xml:space="preserve">euro</w:t>
      </w:r>
      <w:r w:rsidR="00000000" w:rsidRPr="00000000" w:rsidDel="00000000">
        <w:rPr>
          <w:rtl w:val="0"/>
        </w:rPr>
        <w:t xml:space="preserve"> apmērā) un Nr. 88: “Tikko uzbūvētas vai modernizētas automaģistrāles un ceļi – TEN-T visaptverošais tīkls” (finansējums indikatīvi 5 364 382 euro apmērā) (jāņem vērā, ka plānotais finansējums pa intervences kodiem norādīts indikatīvi un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plānotas tiešās attiecināmās izmaksas. Ņemot vērā Pasākuma/projektu  ietvaros plānotās izbūvējamās infrastruktūras specifiku un apjomu, tostarp arī pieejamo finansējumu, kas paredzēts Pasākuma mērķa un rādītāju sasniegšanai, Noteikumu projekts neparedz Pasākuma īstenošanā piemērot vienkāršotas izmaksas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Pasākuma/projektu ietvaros plānots pārbūvēt transporta infrastruktūru, pastāv situācijas, kad pārbūvējamo/modernizējamo būvju konstrukcijas nav iespējams ietilpināt valstspilsētas īpašumā esošajā nekustamajā īpašumā, tamdēļ var rasties situācijas, kad var būt nepieciešams veikt papildus zemes iegādi. Ņemot vērā iepriekš minēto, Noteikumu projekts paredz, ka ir attiecināmas zemes iegādes izmaksas, ja zemes iegāde ir tieši nepieciešama projektā paredzētās būvniecības īstenošanai (ne vairāk kā 10 procenti no projekta attiecināmo izmaksu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nodrošina, lai Pasākuma ietvaros attiecināmās izmaksas nepārklātos ar citiem valsts un ārvalstu finanšu atbalsta instrumentiem un novērš dubultā finansējuma risku. Kā vienu no demarkācijas un dubultfinansējuma riska novēršanas uzraudzības instrumentiem finansējuma saņēmējs var izmantot FM izstrādāto dubultfinansējuma riska kontroles matricu (pieejama šeit: https://matrica.fm.gov.lv/).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iesniegumā neiekļauj un finansējumu nepiešķir pabeigtām darbībām. Būvniecības gadījumā ar darbību (tai skaitā “pabeigtu darbību”) būtu saprotams projekts kopumā, t.i., pieņemot, ka pabeigta darbība ir pilnībā pabeigti darbi/projekts, piemēram, konkrēts ielas pārbūvējamais posms ir nodots ekspluatācijā. Līdz ar to, nosacījums par pabeigtām darbībām nebūtu/nav attiecināms uz atsevišķiem projekta posmiem, piemēram, iepirkumu veikšanu, projektēšanu, vides piekļūstamības ekspertu konsultācijām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atbalstāmās darbības un attiecināmās izmaksas (un to ierobežojumi) ir noteiktas, lai nodrošinātu atbilstību E</w:t>
      </w:r>
      <w:r w:rsidR="00000000" w:rsidRPr="00000000" w:rsidDel="00000000">
        <w:rPr>
          <w:i w:val="1"/>
          <w:rtl w:val="0"/>
        </w:rPr>
        <w:t xml:space="preserve">iropas Parlamenta un Padomes 2021. gada 24. jūnija Regulā (ES) 2021/1058 par Eiropas Reģionālās attīstības fondu un Kohēzijas fondu un Eiropas Parlamenta un Padomes Regulā (ES) 2024/1679 (2024. gada 13. jūnijs) par Savienības pamatnostādnēm Eiropas transporta tīkla attīstībai un ar ko groza Regulas (ES) 2021/1153 un (ES) Nr. 913/2010 un atceļ Regulu (ES) Nr. 1315/2013</w:t>
      </w:r>
      <w:r w:rsidR="00000000" w:rsidRPr="00000000" w:rsidDel="00000000">
        <w:rPr>
          <w:rtl w:val="0"/>
        </w:rPr>
        <w:t xml:space="preserve"> noteiktajiem mērķiem attiecībā uz nepieciešamajiem ieguldījumiem Eiropas transporta tīkla (TEN-T)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ietvaros plānotās investīcijas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attīstības plāns 2021. - 2027.gadam” rīcības virziena “Tehnoloģiskā vide un pakalpojumi” 312.uzdevumam “Multimodāla sabiedriskā transporta tīkla ar dzelzceļu kā sabiedriskā transporta “mugurkaulu” izveidošana, integrējot Rail Baltica esošajā valsts un pašvaldību transporta tīklā, veidojot multimodālus transporta un pasažieru pārsēšanās mezglus, veicinot reģionu sasniedzamību, iedzīvotāju mobilitāti un vides pieejamību, turpinot dzelzceļa elektrifikāciju, vienlaikus attīstot drošu autoceļu un ielu infrastruktūru un nodrošinot ērtus savienojumus starp vilcienu un autobusu reisiem, visās darbībās nodrošinot piekļūstamības prasības” un 314. uzdevumam “Transporta sistēmas pilnveidošana, lai palielinātu velosipēdu un citu videi draudzīgu transportlīdzekļu lietošanu un AER izmantošanu, veidojot atbilstošu infrastruktūru un veicinot autoparka nomaiņu, vienlaikus panākot pieejamību dažādām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“Transporta attīstības pamatnostādnēs 2021. – 2027.gadam” 1. rīcības virziena “Multimodāla sabiedriskā transporta tīkla ar dzelzceļu kā sabiedriskā transporta “mugurkaulu” attīstība” 1.2. uzdevumam “Uzlabot reģionālo sasniedzamību un piekļuvi TEN-T autoceļiem” 1.2.3. pasākumu “Pilsētu infrastruktūras sasaiste ar TEN-T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Reģionālās politikas pamatnostādnēs 2021.-2027.gadam ietvertajam uzdevumam (B.2.5.) “Pašvaldību ceļu un ielu infrastruktūras attīstība un mobilitātes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2024. gada 20. janvāra rīkojuma Nr.55 “Par Valdības rīcības plānu Deklarācijas par Evikas Siliņas vadītā Ministru kabineta iecerēto darbību īstenošanai” pielikumā jomas II. Latviska un iekļaujoša Latvija pasākumam Nr. 16.2.: “Visaptveroši pasākumi ceļu satiksmes drošības, piekļūstamības un mobilitātes uzlabošanai, t.sk. investīcijas satiksmes drošības infrastruktūra (droša mikromobilitāte, vidējā ātruma noteikšanas ierīces, dubultie šķērsojumi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komunikācijas un vizuālās identitātes prasību nodrošināšanas nosacījumi, pasākuma rezultātu ilgtspējas un uzturēšanas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pasākuma ietvaros iesniedz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projektos, veicot iepirkuma procedūru, ir atbalstāma vides prasību integrācija preču un pakalpojumu iepirkumos – zaļais publiskais iepirkums – ja attiecināms. Finansējuma saņēmējam vienlaikus jāievēro obligātie kritēriji saskaņā ar Ministru kabineta 2017. gada 20. jūnija noteikumu Nr.353 “Prasības zaļajam publiskajam iepirkumam un to piemērošanas kārtība” (turpmāk – MK noteikumi Nr. 353) 1. pielikumu “Preču un pakalpojumu grupas, kurām obligāti piemērojams zaļais publiskais iepirkums”, kur noteiktas zaļā iepirkuma prasības un kritēriji, kurus izmanto to preču un pakalpojumu publiskajā iepirkumā, kam zaļais iepirkums piemērojams obligāti.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prasību pasākumus saskaņā ar </w:t>
      </w:r>
      <w:r w:rsidR="00000000" w:rsidRPr="00000000" w:rsidDel="00000000">
        <w:rPr>
          <w:i w:val="1"/>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47. un 50.pantu, un kārtību, kādā ES fondu vadībā iesaistītās institūcijas nodrošina šo fondu ieviešanu 2021.–2027.gada plānošanas periodā, kā arī ES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Centrālā finanšu un līgumu aģentūra (turpmāk - sadarbības iestāde), ja tai ir pieejami valsts budžeta līdzekļi, pamatojoties uz finansējuma saņēmēja rakstisku avansa pieprasījumu un izvērtējot plānotā avansa apmēru un tā pamatojumu, var piešķirt finansējuma saņēmējam avansu pēc vienošanās par projekta īstenošanu noslēgšanas. Finansējuma saņēmējs avansa pieprasījumu sagatavo un sadarbības iestāde apstiprina, ievērojot nosacījumu, ka plānotā avansa apmērs un tā pamatojums atbilst spējai to izlietot sešu mēnešu laikā saimnieciskā gada ietvaros (piemēram, projekta iesniedzējam ir pabeigts būvdarbu iepirkums vai noslēgts būvdarbu līgums). Finansējuma saņēmējam 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piešķiramā avansa apmērs noteikts kā optimālākais variants, kas nepieciešams projektu īstenošanai, lai tiktu nodrošināta finanšu/naudas plūsma projektos iekļauto darbību ieviešanai, ņemot vērā, ka projektu iesniedzēji ir pašvaldība, kurai ir ierobežotas budžeta iespējas ES fondu projektu priekšfinansēšanai, kā arī ņemot vērā, ka nepieciešams veicināt investīciju nonākšanu tautsaimniecībā un nodrošināt n+3 principa izpildi. Jāņem vērā, ka avansa apmērs noteikts, ievērojot arī to, ka kavējas Programmas 2021.-2027. gadam specifisko atbalsta mērķu un pasākumu uzsākšana. Vienlaikus projektu iesniedzējiem tiek noteikta prasība reizē ar avansa pieprasījumu iesniegt pamatojumu par spēju avansu izlietot sešu mēnešu laikā. Avansa izlietošanas termiņš noteikts, ņemot vērā Pasākuma plānoto atlases laika grafiku un to, ka infrastruktūras būvniecība ir cieši saistīta ar sezonalitāti  - ziemas sezonā ir ierobežota būvdarbu veikšana, kad aktīvi būvdarbi nenotiek, tāpēc nepieciešams plānot ilgāku laiku avansa izlietošanai, iekļaujot arī aktīvās būvdarbu sezonas mēnešus. Avanss finansējuma saņēmējam tiks izmaksāts tikai tad, ja norādītajā termiņā ir iespējams to apgūt, piemēram, projekta iesniedzējam ir pabeigts būvdarbu iepirkums vai noslēgts būvdarbu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horizontālo principu “Vienlīdzība, iekļaušana, nediskriminācija un pamattiesību ievērošana”. Noteikumu projekts paredz, ka finansējuma saņēmējs nodrošina datu uzkrāšanu par horizontālā principa “Vienlīdzība, iekļaušana, nediskriminācija un pamattiesību ievērošana” rādītāju “</w:t>
      </w:r>
      <w:r w:rsidR="00000000" w:rsidRPr="00000000" w:rsidDel="00000000">
        <w:rPr>
          <w:i w:val="1"/>
          <w:rtl w:val="0"/>
        </w:rPr>
        <w:t xml:space="preserve">Objektu skaits, kuros ERAF/KF ieguldījumu rezultātā ir nodrošināta vides un informācijas pieejamība</w:t>
      </w:r>
      <w:r w:rsidR="00000000" w:rsidRPr="00000000" w:rsidDel="00000000">
        <w:rPr>
          <w:rtl w:val="0"/>
        </w:rPr>
        <w:t xml:space="preserve">” (VINPI_12) – un citiem horizontālo principu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īstenojot projektu, finansējuma saņēmējs izpilda attiecināmās prasības un nodrošina, ka projekts atbilst </w:t>
      </w:r>
      <w:r w:rsidR="00000000" w:rsidRPr="00000000" w:rsidDel="00000000">
        <w:rPr>
          <w:b w:val="1"/>
          <w:rtl w:val="0"/>
        </w:rPr>
        <w:t xml:space="preserve">principa “Klimatdrošināšana”</w:t>
      </w:r>
      <w:r w:rsidR="00000000" w:rsidRPr="00000000" w:rsidDel="00000000">
        <w:rPr>
          <w:rtl w:val="0"/>
        </w:rPr>
        <w:t xml:space="preserve"> ievērošanai. Vienlaikus arī pasākuma projektu iesniegumu vērtēšanas kritēriji paredz/iekļauj specifisko atbilstības kritēriju, nosakot, ka projektā ietvertie pasākumi paredz horizontālā principa “Klimatdrošināšana” nepieciešamo prasību ievērošanu attiecībā uz klimata pārmaiņu mazināšanu un pielāgošanos klimata pārmaiņām, attiecīgo informāciju iekļaujot projekta iesniegumā, ja attiecināms,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paredzēts īstenot darbības, kas nodrošina klimata pārmaiņu mazināšanu, t.i., siltumnīcefekta gāzu (turpmāk – SEG) emisiju samazināšanu (projekta iesniegumā vai tā pielikumā sniedzot informāciju par SEG emisiju apjoma samazinājumu projekta/u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nodrošinot atbilstību pielāgošanās klimata pārmaiņu aspektiem, kopsakarībā ar klimata pārmaiņu radītajiem potenciālajiem riskiem un to ietekmes novēršanu projektā tiks izvērtēta iespēja veikt attiecīgas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izbūvēt lietusūdens caurplūdes grāvjus u.tml. ceļa elementus atbilstoši klimata pārmaiņu radītajam nokrišņu intensitātes palielinājumam, kur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būvniecības procesā ceļa/ielas segai paredzēt materiālus, kas samazina seguma (segas) paliekošo deformāciju (temperatūras un slodzes ietekmē) un citu bojājumu veidošanos, vienlaicīgi nodrošinot ceļa/ielas nestspēju atbilstoši paredzētai slodzei un satiksmes intensitātei;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pamatotos gadījumos paredzēt lietus ūdeņu savākšanas un novadīšanas sistēmu izbūvi, lai mazinātu applūšanas riskus spēcīgu lietusgāžu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w:t>
      </w:r>
      <w:r w:rsidR="00000000" w:rsidRPr="00000000" w:rsidDel="00000000">
        <w:rPr>
          <w:b w:val="1"/>
          <w:rtl w:val="0"/>
        </w:rPr>
        <w:t xml:space="preserve">horizontālā principa “Nenodarīt būtisku kaitējumu”</w:t>
      </w:r>
      <w:r w:rsidR="00000000" w:rsidRPr="00000000" w:rsidDel="00000000">
        <w:rPr>
          <w:rtl w:val="0"/>
        </w:rPr>
        <w:t xml:space="preserve"> (turpmāk – NBK) noteiktie klimata pārmaiņu mazināšanas, pielāgošanos klimata pārmaiņām un vides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horizontālais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NBK principa kritēriju[3]: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Kritērijs “klimata pārmaiņu mazināšana, lai neradītu ievērojamas SEG emisijas”: veicot Pasākumā plānotās darbības – uzlabosies braukšanas apstākļu kvalitāte, satiksmes plūsma būs vienmērīgāka un samazināsies gaidīšanas laiki atsevišķām satiksmes plūsmām. Vienmērīgu braukšanas režīmu raksturo zemāks degvielas patēriņš, kas ir SEG emisiju cēlonis. Blīvi apdzīvotas teritorijas tiks atslogotas no kravas autotransporta, kā rezultātā samazināsies SEG emisiju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Kritērijs “pielāgošanās klimata pārmaiņām”: pasākumā/projektos plānotie ieguldījumi neizraisīs negatīvu ietekmi uz pašreizējā klimata un gaidāmā nākotnes klimata radītajām negatīvajām ietekmēm uz pašu pasākumu, cilvēkiem, dabu vai aktīviem (tai skaitā infrastruktūru), kā arī neradīs negatīvu ietekmi uz pielāgošanās klimata pārmaiņām mērķu sasniegšanu, jo pasākumu īstenošanā ir paredzēts ņemt vērā klimata pārmaiņu radītos potenciālos riskus, kā arī novērst to ietekmi. Projektēšanas stadijā tiks ņemti vērā ar klimata pārmaiņām saistītie riski un tiks noteikti arī ar būvniecību, uzturēšanu un ekspluatāciju saistītie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Pamatotos gadījumos plānotās darbības ietver lietusūdens caurplūdes grāvju u.tml. ceļa elementu izbūvi atbilstoši klimata pārmaiņu radītajam nokrišņu intensitātes palielinājumam, kur nepieciešams. Transporta infrastruktūras izbūves/ pārbūves rezultātā attiecīgajos posmos infrastruktūra kļūs klimatnoturīgāka, jo tiks izmantotas tehnoloģijas, kas novērš intensīvu nokrišņu radīto bojājumu, upju un notekgrāvju radīto bojājumu, kā arī karstuma radīto bojājumu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Kritērijs “ūdens un jūras resursu ilgtspējīga izmantošana un aizsardzība”: Pasākumam nav būtiskas ietekmes, jo veicot ieguldījumus transporta infrastruktūrā tiks uzlabotas lietus ūdens novadīšanas sistēmas, nepieciešamības gadījumā novēršot piesārņojuma nokļūšanu virszemes ūdeņos. Tāpat tiks īstenoti vides aizsardzībai vajadzīgie ietekmes mazināšanas pasākumi. Pārbūvējot transporta infrastruktūru, pamatotos gadījumos tiks paredzēta lietus ūdeņu savākšanas un novadīšanas sistēmu izbūve, lai mazinātu applūšanas riskus spēcīgu lietusgāžu gadījumā. Tiks ievēroti likuma “Par ietekmes uz vidi novērtējumu” nosacījumi un tiks veikts ietekmes uz vidi novērtējums atbilstoši normatīvajos aktos noteiktajam, un negatīvā ietekme tiks novērsta saskaņā ar Eiropas Parlamenta un Padomes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Kritērijs “pāreja uz aprites ekonomiku, ieskaitot atkritumu rašanās novēršanu un pārstrādi”: pasākumam nav būtisks ietekmes. Projekta īstenošanā, kur attiecināms, atbilstoši plānotajiem ieguldījumiem un tā ietvaros sasniedzamajam rezultātam, tiks piemēroti zaļā publiskā iepirkuma principi, tai skaitā projektos, uz kuriem tas attiecināms, tiks nodrošināta MK noteikumos Nr. 353 noteikto obligāto prasību izpilde attiecībā uz apgaismojumu un satiksmes signāliem, piemērojot ciktāl tas ir racionāli un iespējami ceļu būvdarbos atkārtoti pārstrādātu vai otrreizējo izejvielu izmantošanu jaunu resursu vietā. Plānots, ka būvniecības laikā būvdarbu veicēji tiks aicināti ierobežot atkritumu rašanos saskaņā ar ES būvgružu un ēku nojaukšanas atkritumu apsaimniekošanas protokolu un ņemot vērā pieejamos tehniskos paņēmienus, kā arī atvieglot atkārtotu izmantošanu un reciklēšanu, kas panākams ar būvgružu šķirošanai paredzēto, pieejamo sistēmu palīdzību selektīvi izņemot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Kritērijs “piesārņojuma novēršana un kontrole”: Pasākumā/projektos īstenotajām darbībām nav paredzama būtiska ietekme uz vides piesārņojumu. Īstermiņā projekta īstenošanas – būvniecības procesā ietekme tiks mazināta, kur attiecināms, paredzot/piemērojot zaļo publisko iepirkumu un ievērojot visus atbilstošos vides aizsardzības normatīvus. Nav paredzams, ka Pasākums būtiski palielinās piesārņotāju emisijas gaisā, jo ielu/transporta infrastruktūras pārbūve ir daļa no visaptverošā plāna transporta jomā un atbilst Gaisa piesārņojuma samazināšanas rīcības plānam 2020.-2030. gadam, kur sasaistē ar  politiku transporta sektorā pilsētu infrastruktūras sasaistei ar TEN-T tīklu ir norādīta pozitīva ietekme uz gaisa kvalitāti. Īstenojot Pasākumu, atsevišķās vietās tiek plānots atbalstīt teritorijas labiekārtošanas darbus, tostarp apzaļumošanu un koku stādīšanu, tādējādi nodrošinot zaļu un ilgtspējīgas vides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Kritērijs “bioloģiskās daudzveidības un ekosistēmu aizsardzība un atjaunošana”: Pasākumā īstenotajām darbībām ir nebūtiska ietekme. Plānotie ieguldījumi neparedz tiešu ietekmi uz ES nozīmes sugām un biotopiem un to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saņēmēja iekšējās kontroles sistēma ietver informāciju par interešu konflikta, krāpšanas, korupcijas risku un dubultā finansējuma novēršanas mehānismu. Finansējuma saņēmējs nepieciešamības gadījumā aktualizē esošo iekšējās kontroles sistēmu, nodrošinot atbilstību Noteikumu projektā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īstenojot projektus, nodrošinās Pasākumā atbalstāmo darbību sinerģiju, papildinātību ar ES un citiem atbalsta instrumentiem, vienlaikus nodrošinot demarkācijas un dubultfinansējuma riska novēršanu gadījumus, kad no dažādiem finanšu avotiem tiks atbalstītas vienas un tās pašas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finansējuma saņēmējs ir nacionālas nozīmes attīstības centra – Jelgavas, Jēkabpils, Jūrmalas, Liepājas un Ventspils – pašvaldība vai tās izveidota iestāde. Pasākuma ietvaros plānotais atbalsts finansējuma saņēmējiem nav saistīts ar saimnieciskās darbības veikšanu atbilstoši Komercdarbības atbalsta kontroles likuma 5.pantā noteiktajām četrām kumulatīvajām pazīmēm. Vienlaikus jāņem vērā, ka Pasākuma/projektu ietvaros izveidotā transporta infrastruktūra pēc pieņemšanas ekspluatācijā būs pieejama ikvienam (publiski pieejama infrastruktūra) bez diskriminācijas un ierobežojumiem, saglabājot vispārējās publiskās infrastruktūras statusu atbilstoši tam, kā tas izriet no Eiropas Komisijas paziņojuma par Līguma par ES darbību 107. panta 1. punktā minēto valsts atbalsta jēdzienu (2016/C 262/01) 203.punktu, proti, Pasākuma/projektu ietvaros izveidotā infrastruktūra netiks izmantota komerciāli un to bez maksas varēs izmantot ikviens, tai skaitā satiksmes dalībnieki. Līdz ar to Pasākumā netiek piemērots komercdarbības atbalsta kontroles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 gada 29. septembra noteikumi Nr. 1104 “</w:t>
      </w:r>
      <w:r w:rsidR="00000000" w:rsidRPr="00000000" w:rsidDel="00000000">
        <w:rPr>
          <w:i w:val="1"/>
          <w:rtl w:val="0"/>
        </w:rPr>
        <w:t xml:space="preserve">Noteikumi par valsts autoceļu un valsts autoceļu maršrutā ietverto pašvaldībām piederošo autoceļu posmu sarakstiem</w:t>
      </w:r>
      <w:r w:rsidR="00000000" w:rsidRPr="00000000" w:rsidDel="00000000">
        <w:rPr>
          <w:rtl w:val="0"/>
        </w:rPr>
        <w:t xml:space="preserve">”, https://likumi.lv/ta/id/198589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Detalizētāku informāciju par potenciālajiem projektiem un to ekonomiskās efektivitātes novērtējumu skat. paplašinātajā sākotnējā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Detalizētāku informāciju skat. principa “Nenodarīt būtisku kaitējumu” novērtējumā par 3.1.1.5.pasākumu “Nacionālās nozīmes centru maģistrālo ielu un esošo maršrutu attīstība”, https://www.esfondi.lv/guidelines_and_regulations_assets/2021_2027/es_kohezijas_politikas_prro/hp-nenodarit-butisku-kaitejumu-noverteijumi-02.01.2023.zip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varianti tika izvērtēti, izstrādājot Programmu un tās politikas mērķus un specifiskos atbalsta mērķus.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tikai tādas darbības un sagatavot tādus iesniedzamos dokumentus, ko jau nosaka spēkā esošie normatīvie akti. Pasākumā plānoto darbību izmaksu samērīgums pret ieguvumiem tiks izvērtēts, veicot būvobjektu projektēšanu.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satiksme dalībniekiem, kā arī uz iedzīvotājiem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Pasākumā/projektos īstenoto darbību rezultātā tiks izbūvēta/modernizēta transporta infrastruktūru un uzlabota transporta infrastruktūras kvalitāte. Ar projektu īstenošanu tiks nodrošināta atsevišķu pilsētu daļu efektīva savstarpējā sasaiste, kā arī uzlabota (satiksmes dalībnieku un iedzīvotāju) satiksmes drošība un mobilitāte.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Eiropas Savienības fondu 2021.–2027.gada plānošanas perioda atbildīgā iestāde un nacionālas nozīmes attīstības centri – Jelgavas, Jēkabpils, Jūrmalas, Liepājas un Ventspils – pašvaldība vai tās izveidota iestāde (kas pēc projekta apstiprināšanas ir finansējuma saņēmēji un projekta īstenotāji).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 ministrija pildīs Eiropas Savienības fondu 2021.–2027.gada plānošanas perioda atbildīgās iestādes funkcijas, savukārt, plānotie projekta iesniedzēji -  nacionālas nozīmes attīstības centri (Jelgavas, Jēkabpils, Jūrmalas, Liepājas un Ventspils – pašvaldība vai tās izveidota iestāde) pildīs finansējuma saņēmēja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plānots veikt ieguldījumus nacionālas nozīmes attīstības centru  (Jelgava, Jēkabpils, Jūrmala, Liepāja un Ventspils) TEN-T maršrutos ietilpstošo autoceļu/ielu posmos (TEN-T autoceļu turpinājumos valstpilsētas teritorijā), pārbūvējot, modernizējot transporta infrastruktūru un uzlabojot transporta infrastruktūras kvalitāti, tai skaitā uzlabojot transporta infrastruktūras tehniskos parametrus, satiksmes drošību un tuvumā dzīvojošo sabiedrības locekļu dzīves kvalitāti, piemēram, rodot iespēju droši šķērsot ceļu, veicinot satiksmes dalībnieku (arī mazāk aizsargāto satiksmes dalībnieku) un iedzīvotāju mobilitāti, vides piekļūstamību. Ar projektu īstenošanu tiks nodrošināta atsevišķu pilsētu daļu efektīva savstarpējā sasaiste un veicināta satiksmes intensitātes caurlaides 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tiks veicināta dzīves vides kvalitātes uzlabošanās iedzīvotājiem, tostarp iedzīvotāju dzīves apstākļi, reģiona attīstība, sasniedzamības nodrošinājums un drošas mikromobilitātes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izbūvētā transporta infrastruktūra radīs pienesumu arī tautsaimniecībai kopumā, jo veicinās raitāku transporta plūsmu, vienmērīgu braukšanu (veicinot arī SEG emisiju/degvielas patēriņa samazinājuma), kā rezultātā uzlabosies mobilitāte un samazināsies satiksmes dalībnieku ceļā patērētais laiks. Tāpat Pasākums radīs pozitīvu ietekmi uz nodarbinātību, galvenokārt transporta infrastruktūras būvniecības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arī Latvijas Nacionālais attīstības plānā 2021. - 2027.gadam” rīcības virziena “Tehnoloģiskā vide un pakalpojumi” 312.uzdevuma/mērķa sasniegšana, proti, attīstot drošu ielu un transporta infrastruktūru un sekmēta 314. uzdevuma/mērķa sasniegšanu: “Transporta sistēmas pilnveidošana, lai palielinātu velosipēdu un citu videi draudzīgu transportlīdzekļu lietošanu un AER izmantošanu, veidojot atbilstošu infrastruktūru un veicinot autoparka nomaiņu, vienlaikus panākot pieejamību dažādām sociālajām grupām”, kā arī Projekts sekmēs “Transporta attīstības pamatnostādnēs 2021. – 2027.gadam” 1. rīcības virziena “Multimodāla sabiedriskā transporta tīkla ar dzelzceļu kā sabiedriskā transporta “mugurkaulu” attīstība” 1.2. uzdevuma “Uzlabot reģionālo sasniedzamību un piekļuvi TEN-T autoceļiem” 1.2.3. pasākuma “Pilsētu infrastruktūras sasaiste ar TEN-T tīklu”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5 699 056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2 875 423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3 903 472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5 699 056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2 875 423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3 903 472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1 088 736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6 704 772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3 382 851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4 592 320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5 699 056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2 875 423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3 903 472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1 005 716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507 428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688 848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-1 005 716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-507 428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-688 848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-1 005 716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-507 428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-688 848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-1 005 716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-507 428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-688 848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kopējais plānotais finansējums ir ne vairāk kā 18 933 112 </w:t>
            </w:r>
            <w:r w:rsidR="00000000" w:rsidRPr="00000000" w:rsidDel="00000000">
              <w:rPr>
                <w:sz w:val="24"/>
                <w:i w:val="1"/>
                <w:rtl w:val="0"/>
              </w:rPr>
              <w:t xml:space="preserve">euro</w:t>
            </w:r>
            <w:r w:rsidR="00000000" w:rsidRPr="00000000" w:rsidDel="00000000">
              <w:rPr>
                <w:sz w:val="24"/>
                <w:rtl w:val="0"/>
              </w:rPr>
              <w:t xml:space="preserve">, tai skaitā Kohēzijas fonda (turpmāk – KF) finansējums 16 093 145 </w:t>
            </w:r>
            <w:r w:rsidR="00000000" w:rsidRPr="00000000" w:rsidDel="00000000">
              <w:rPr>
                <w:sz w:val="24"/>
                <w:i w:val="1"/>
                <w:rtl w:val="0"/>
              </w:rPr>
              <w:t xml:space="preserve">euro</w:t>
            </w:r>
            <w:r w:rsidR="00000000" w:rsidRPr="00000000" w:rsidDel="00000000">
              <w:rPr>
                <w:sz w:val="24"/>
                <w:rtl w:val="0"/>
              </w:rPr>
              <w:t xml:space="preserve"> un nacionālais līdzfinansējums (pašvaldību finansējums) – 2 839 967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r w:rsidR="00000000" w:rsidRPr="00000000" w:rsidDel="00000000">
              <w:rPr>
                <w:sz w:val="24"/>
                <w:rtl w:val="0"/>
              </w:rPr>
              <w:t xml:space="preserve">: 1 088 736 </w:t>
            </w:r>
            <w:r w:rsidR="00000000" w:rsidRPr="00000000" w:rsidDel="00000000">
              <w:rPr>
                <w:sz w:val="24"/>
                <w:i w:val="1"/>
                <w:rtl w:val="0"/>
              </w:rPr>
              <w:t xml:space="preserve">euro</w:t>
            </w:r>
            <w:r w:rsidR="00000000" w:rsidRPr="00000000" w:rsidDel="00000000">
              <w:rPr>
                <w:sz w:val="24"/>
                <w:rtl w:val="0"/>
              </w:rPr>
              <w:t xml:space="preserve">, t.sk. KF finansējums 925 426 </w:t>
            </w:r>
            <w:r w:rsidR="00000000" w:rsidRPr="00000000" w:rsidDel="00000000">
              <w:rPr>
                <w:sz w:val="24"/>
                <w:i w:val="1"/>
                <w:rtl w:val="0"/>
              </w:rPr>
              <w:t xml:space="preserve">euro</w:t>
            </w:r>
            <w:r w:rsidR="00000000" w:rsidRPr="00000000" w:rsidDel="00000000">
              <w:rPr>
                <w:sz w:val="24"/>
                <w:rtl w:val="0"/>
              </w:rPr>
              <w:t xml:space="preserve">, nacionālais līdzfinansējums (pašvaldību līdzfinansējums) 163 310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r w:rsidR="00000000" w:rsidRPr="00000000" w:rsidDel="00000000">
              <w:rPr>
                <w:sz w:val="24"/>
                <w:rtl w:val="0"/>
              </w:rPr>
              <w:t xml:space="preserve">: 6 704 772 </w:t>
            </w:r>
            <w:r w:rsidR="00000000" w:rsidRPr="00000000" w:rsidDel="00000000">
              <w:rPr>
                <w:sz w:val="24"/>
                <w:i w:val="1"/>
                <w:rtl w:val="0"/>
              </w:rPr>
              <w:t xml:space="preserve">euro</w:t>
            </w:r>
            <w:r w:rsidR="00000000" w:rsidRPr="00000000" w:rsidDel="00000000">
              <w:rPr>
                <w:sz w:val="24"/>
                <w:rtl w:val="0"/>
              </w:rPr>
              <w:t xml:space="preserve">, t.sk. KF finansējums 5 699 056 </w:t>
            </w:r>
            <w:r w:rsidR="00000000" w:rsidRPr="00000000" w:rsidDel="00000000">
              <w:rPr>
                <w:sz w:val="24"/>
                <w:i w:val="1"/>
                <w:rtl w:val="0"/>
              </w:rPr>
              <w:t xml:space="preserve">euro</w:t>
            </w:r>
            <w:r w:rsidR="00000000" w:rsidRPr="00000000" w:rsidDel="00000000">
              <w:rPr>
                <w:sz w:val="24"/>
                <w:rtl w:val="0"/>
              </w:rPr>
              <w:t xml:space="preserve">, nacionālais līdzfinansējums (pašvaldību līdzfinansējums) 1 005 716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gads</w:t>
            </w:r>
            <w:r w:rsidR="00000000" w:rsidRPr="00000000" w:rsidDel="00000000">
              <w:rPr>
                <w:sz w:val="24"/>
                <w:rtl w:val="0"/>
              </w:rPr>
              <w:t xml:space="preserve">: 3 382 851 </w:t>
            </w:r>
            <w:r w:rsidR="00000000" w:rsidRPr="00000000" w:rsidDel="00000000">
              <w:rPr>
                <w:sz w:val="24"/>
                <w:i w:val="1"/>
                <w:rtl w:val="0"/>
              </w:rPr>
              <w:t xml:space="preserve">euro</w:t>
            </w:r>
            <w:r w:rsidR="00000000" w:rsidRPr="00000000" w:rsidDel="00000000">
              <w:rPr>
                <w:sz w:val="24"/>
                <w:rtl w:val="0"/>
              </w:rPr>
              <w:t xml:space="preserve">, t.sk. KF finansējums 2 875 423 </w:t>
            </w:r>
            <w:r w:rsidR="00000000" w:rsidRPr="00000000" w:rsidDel="00000000">
              <w:rPr>
                <w:sz w:val="24"/>
                <w:i w:val="1"/>
                <w:rtl w:val="0"/>
              </w:rPr>
              <w:t xml:space="preserve">euro</w:t>
            </w:r>
            <w:r w:rsidR="00000000" w:rsidRPr="00000000" w:rsidDel="00000000">
              <w:rPr>
                <w:sz w:val="24"/>
                <w:rtl w:val="0"/>
              </w:rPr>
              <w:t xml:space="preserve">, nacionālais līdzfinansējums (pašvaldību līdzfinansējums) 507 428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gads</w:t>
            </w:r>
            <w:r w:rsidR="00000000" w:rsidRPr="00000000" w:rsidDel="00000000">
              <w:rPr>
                <w:sz w:val="24"/>
                <w:rtl w:val="0"/>
              </w:rPr>
              <w:t xml:space="preserve">: 4 592 320 </w:t>
            </w:r>
            <w:r w:rsidR="00000000" w:rsidRPr="00000000" w:rsidDel="00000000">
              <w:rPr>
                <w:sz w:val="24"/>
                <w:i w:val="1"/>
                <w:rtl w:val="0"/>
              </w:rPr>
              <w:t xml:space="preserve">euro</w:t>
            </w:r>
            <w:r w:rsidR="00000000" w:rsidRPr="00000000" w:rsidDel="00000000">
              <w:rPr>
                <w:sz w:val="24"/>
                <w:rtl w:val="0"/>
              </w:rPr>
              <w:t xml:space="preserve">, t.sk. KF finansējums 3 903 472 </w:t>
            </w:r>
            <w:r w:rsidR="00000000" w:rsidRPr="00000000" w:rsidDel="00000000">
              <w:rPr>
                <w:sz w:val="24"/>
                <w:i w:val="1"/>
                <w:rtl w:val="0"/>
              </w:rPr>
              <w:t xml:space="preserve">euro</w:t>
            </w:r>
            <w:r w:rsidR="00000000" w:rsidRPr="00000000" w:rsidDel="00000000">
              <w:rPr>
                <w:sz w:val="24"/>
                <w:rtl w:val="0"/>
              </w:rPr>
              <w:t xml:space="preserve">, nacionālais līdzfinansējums (pašvaldību līdzfinansējums) 688 848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gads</w:t>
            </w:r>
            <w:r w:rsidR="00000000" w:rsidRPr="00000000" w:rsidDel="00000000">
              <w:rPr>
                <w:sz w:val="24"/>
                <w:rtl w:val="0"/>
              </w:rPr>
              <w:t xml:space="preserve">: 1 937 541 </w:t>
            </w:r>
            <w:r w:rsidR="00000000" w:rsidRPr="00000000" w:rsidDel="00000000">
              <w:rPr>
                <w:sz w:val="24"/>
                <w:i w:val="1"/>
                <w:rtl w:val="0"/>
              </w:rPr>
              <w:t xml:space="preserve">euro</w:t>
            </w:r>
            <w:r w:rsidR="00000000" w:rsidRPr="00000000" w:rsidDel="00000000">
              <w:rPr>
                <w:sz w:val="24"/>
                <w:rtl w:val="0"/>
              </w:rPr>
              <w:t xml:space="preserve">, t.sk. KF finansējums 1 646 910 </w:t>
            </w:r>
            <w:r w:rsidR="00000000" w:rsidRPr="00000000" w:rsidDel="00000000">
              <w:rPr>
                <w:sz w:val="24"/>
                <w:i w:val="1"/>
                <w:rtl w:val="0"/>
              </w:rPr>
              <w:t xml:space="preserve">euro</w:t>
            </w:r>
            <w:r w:rsidR="00000000" w:rsidRPr="00000000" w:rsidDel="00000000">
              <w:rPr>
                <w:sz w:val="24"/>
                <w:rtl w:val="0"/>
              </w:rPr>
              <w:t xml:space="preserve">, nacionālais līdzfinansējums (pašvaldību līdzfinansējums) 290 631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2030. gads</w:t>
            </w:r>
            <w:r w:rsidR="00000000" w:rsidRPr="00000000" w:rsidDel="00000000">
              <w:rPr>
                <w:sz w:val="24"/>
                <w:rtl w:val="0"/>
              </w:rPr>
              <w:t xml:space="preserve">: 1 226 892 </w:t>
            </w:r>
            <w:r w:rsidR="00000000" w:rsidRPr="00000000" w:rsidDel="00000000">
              <w:rPr>
                <w:sz w:val="24"/>
                <w:i w:val="1"/>
                <w:rtl w:val="0"/>
              </w:rPr>
              <w:t xml:space="preserve">euro</w:t>
            </w:r>
            <w:r w:rsidR="00000000" w:rsidRPr="00000000" w:rsidDel="00000000">
              <w:rPr>
                <w:sz w:val="24"/>
                <w:rtl w:val="0"/>
              </w:rPr>
              <w:t xml:space="preserve">, t.sk. KF finansējums 1 042 858 </w:t>
            </w:r>
            <w:r w:rsidR="00000000" w:rsidRPr="00000000" w:rsidDel="00000000">
              <w:rPr>
                <w:sz w:val="24"/>
                <w:i w:val="1"/>
                <w:rtl w:val="0"/>
              </w:rPr>
              <w:t xml:space="preserve">euro</w:t>
            </w:r>
            <w:r w:rsidR="00000000" w:rsidRPr="00000000" w:rsidDel="00000000">
              <w:rPr>
                <w:sz w:val="24"/>
                <w:rtl w:val="0"/>
              </w:rPr>
              <w:t xml:space="preserve">, nacionālais līdzfinansējums (pašvaldību līdzfinansējums) 184 034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KF finansējuma daļa. Budžeta izdevumi ir kopējie Pasākuma ieviešanai nepieciešamie publiskā finansējuma (KF un pašvaldību finansējuma) līdzekļi 100 procentu apmērā no Pasākumā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pieejamais finansējums paredzēts darbībām, kas atbilst Programmas 3.1.prioritātes “Ilgtspējīga TEN-T infrastruktūra” noteiktajam intervences kodam Nr. 87: “Tikko uzbūvētas vai modernizētas automaģistrāles un ceļi – TEN-T pamattīkls” (finansējums indikatīvi 10 728 763 </w:t>
            </w:r>
            <w:r w:rsidR="00000000" w:rsidRPr="00000000" w:rsidDel="00000000">
              <w:rPr>
                <w:sz w:val="24"/>
                <w:i w:val="1"/>
                <w:rtl w:val="0"/>
              </w:rPr>
              <w:t xml:space="preserve">euro</w:t>
            </w:r>
            <w:r w:rsidR="00000000" w:rsidRPr="00000000" w:rsidDel="00000000">
              <w:rPr>
                <w:sz w:val="24"/>
                <w:rtl w:val="0"/>
              </w:rPr>
              <w:t xml:space="preserve"> apmērā) un Nr. 88: “Tikko uzbūvētas vai modernizētas automaģistrāles un ceļi – TEN-T visaptverošais tīkls” (finansējums indikatīvi 5 364 382 </w:t>
            </w:r>
            <w:r w:rsidR="00000000" w:rsidRPr="00000000" w:rsidDel="00000000">
              <w:rPr>
                <w:sz w:val="24"/>
                <w:i w:val="1"/>
                <w:rtl w:val="0"/>
              </w:rPr>
              <w:t xml:space="preserve">euro</w:t>
            </w:r>
            <w:r w:rsidR="00000000" w:rsidRPr="00000000" w:rsidDel="00000000">
              <w:rPr>
                <w:sz w:val="24"/>
                <w:rtl w:val="0"/>
              </w:rPr>
              <w:t xml:space="preserve"> apmērā) (jāņem vērā, ka plānotais finansējums pa intervences kodiem norādīts indikatīvi un var tikt precizēts).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precizēts/mainīties atbilstoši faktiskajai situācijai pēc projektēšanas pabeigšanas un būvdarbu līgumu noslēgšanas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un 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27.14.apakšpunkts.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iebildumi vai priekšlikumi nav saņemti. Tiks papildināts atbilstoši sabiedriskās apspriedes un sabiedrības aktivitātei.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nodrošināta sabiedrības pārstāvju un nozares/jomas pārstāvošu biedrību, nodibinājumu, nevalstisko organizāciju iesaiste, nododot Noteikumu projektu publiskā apspriešanā (sabiedrības līdzdalības organizēšana), kā arī iespēju sniegt viedokli par Noteikumu projektu vienotājā tiesību aktu projektu portālā (TAP).</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horizontālā principa “Klimatdrošināšana” un principa “Nenodarīt būtisku kaitējumu” (turpmāk – NBK) noteiktie klimata pārmaiņu mazināšanas, pielāgošanos klimata pārmaiņām un vides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horizontālais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Pasākumā/projektos plānotie ieguldījumi neizraisīs negatīvu ietekmi uz pašreizējā klimata un gaidāmā nākotnes klimata radītajām negatīvajām ietekmēm uz pašu pasākumu, cilvēkiem, dabu vai aktīviem (tai skaitā infrastruktūru), kā arī neradīs negatīvu ietekmi uz pielāgošanās klimata pārmaiņām mērķu sasniegšanu, jo pasākumu īstenošanā ir paredzēts ņemt vērā klimata pārmaiņu radītos potenciālos riskus, kā arī novērst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kura ietvaros projekta iesniedzējam ir jāsniedz informācija par projektā paredzētajām darbībām,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netieši ietekme uz horizontālā principa “Vienlīdzība, iekļaušana, nediskriminācija un pamattiesību ievērošana” ievērošanu. Noteikumu projektā paredzēts, ka finansējuma saņēmējs uzkrāj datus par projekta ietekmi uz noteiktiem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projekta ietvaros  tiks īstenotas vispārīgas un specifiskas darbības, piemēram, īstenojot projekta komunikācijas aktivitātes, tiks izvēlēta valoda un vizuālie tēli, kas mazina diskrimināciju un stereotipu veidošanos par personām ar invaliditāti, 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 Vadlīnijas piekļūstamības izvērtējumam pieejamas šeit: https://www.varam.gov.lv/lv/timeklvietnu-pieklustamibas-vadlinijas)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kura ietvaros projekta iesniedzējam ir jāsniedz informācija par projektā paredzētajām darbībām,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horizontālā principa “Vienlīdzība, iekļaušana, nediskriminācija un pamattiesību ievērošana” ievērošanu, tādēļ plānotas vispārīgas horizontālā principa darbības, kas vērstas uz dzimumu līdztiesību, piemēram, projekta vadībā tiks virzīti pasākumi, kas sekmē darba un ģimenes dzīves līdzsvaru - paredzot elastīga un nepilna laika darba iespēju nodrošināšanu vecākiem ar bērniem un personām, kuras aprūpē tuviniekus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horizontālā principa “Klimatdrošināšana” un principa “Nenodarīt būtisku kaitējumu” noteiktie klimata pārmaiņu mazināšanas un pielāgošanos klimata pārmaiņām, un vides principi (</w:t>
      </w:r>
      <w:r w:rsidR="00000000" w:rsidRPr="00000000" w:rsidDel="00000000">
        <w:rPr>
          <w:i w:val="1"/>
          <w:rtl w:val="0"/>
        </w:rPr>
        <w:t xml:space="preserve">detalizētāku informāciju skat. Noteikumu projekta anotācijas 1.3. sadaļā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horizontālā principa “Energoefektivitāte pirmajā vietā” īstenošanu, kā arī ir netieša ietekme uz horizontālo principu “Nenodarīt būtisku kaitējumu” un “Vienlīdzība, iekļaušana, nediskriminācija un pamattiesību ievērošana”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finansējuma saņēmējs uzkrāj datus par projekta ietekmi uz horizontālā principa “Vienlīdzība, iekļaušana, nediskriminācija un pamattiesību ievērošana” (turpmāk – HP) rādītāju – objektu skaits, kuros Kohēzijas fonda ieguldījumu rezultātā ir nodrošināta vides un informācijas pieejamība – un citiem horizontālo principu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vērtēšanas kritēriju komplekts paredz/iekļauj specifisko atbilstības kritēriju, kura ietvaros projekta iesniedzējam ir jāsniedz informācija par Projektā paredzētajām darbībām, kas veicina vienlīdzību, iekļaušanu, nediskrimināciju un pamattiesību ievērošanu, proti, projektā plānotas vismaz 3 vispārīgās HP darbības un vismaz 3 specifiskās HP darbības, kas risinās identificētās mērķa grupas vajadzības un problēmas un veicinās vienlīdzību, iekļaušanu, nediskrimināciju un pamattiesību ievērošanu (HP vispārīgo un specifisko darbību piemēri un rādītāji noteikti LM izstrādātajā metodikā “Horizontālā principa “Vienlīdzība, iekļaušana, nediskriminācija un pamattiesību ievērošana” īstenošanas un uzraudzības metodika (2021-2027)”, pieejama: https://www.lm.gov.lv/lv/metodiskie-materiali)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atbalstāma ir vides prasību integrācija preču un pakalpojumu iepirkumos, kā arī vides pieejamības un izmantojamības nodrošināšana (zaļais publiskais iepirkums), kur tā ir attiecināma un atbilstoša ieguldījumu specifikai, lai īstenotu sociāli atbildīgu iepirkumu, kā arī piemēro inovatīvā publiskā iepirkuma nosacījumus,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komunikācijas un vizuālās identitātes prasību pasākumu nodrošināšanu, piemēram, īstenojot projekta komunikācijas aktivitātes, tiks izvēlēta valoda un vizuālie tēli, kas mazina diskrimināciju un stereotipu veidošanos par kādu no dzimumiem, personām ar invaliditāti, reliģisko pārliecību, vecumu, rasi un etnisko izcelsmi vai seksuālo orientāciju u.c.</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24-TA-3274</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24-TA-3274</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anotācija_(ex_ante)_24-TA-3274.docx</dc:title>
</cp:coreProperties>
</file>

<file path=docProps/custom.xml><?xml version="1.0" encoding="utf-8"?>
<Properties xmlns="http://schemas.openxmlformats.org/officeDocument/2006/custom-properties" xmlns:vt="http://schemas.openxmlformats.org/officeDocument/2006/docPropsVTypes"/>
</file>