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Kredītiestāžu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2022/2464, ar ko attiecībā uz korporatīvo ilgtspējas ziņu sniegšanu groza Regulu (ES) Nr. 537/2014, Direktīvu 2004/109/EK, Direktīvu 2006/43/EK un Direktīvu 2013/34/ES (turpmāk – Direktīva 2022/2464).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Kredītiestāžu likumā" (turpmāk - Likumprojekts) ir izstrādāts, lai normatīvajā regulējumā iekļautu tiesību normas, kas izriet no Direktīvas 2022/2464 un nodrošinātu, ka gada pārskata sastāvdaļā vadības ziņojumā iekļauj ilgtspējas ziņojumu, kas izriet no Direktīvas 2022/2464 un likumprojektā "Ilgtspējas informācijas atklāšanas likums" iekļautām tiesību normām.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2022/2464 5. panta 1. punktu dalībvalstīs stājas spēkā normatīvie un administratīvie akti, kas vajadzīgi, lai izpildītu šīs direktīvas 1. līdz 3. panta prasības līdz 2024. gada 6. jūlijam.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tiesību normas, kas izriet no Eiropas Parlamenta un Padomes 2013. gada 26. jūnija Direktīvas 2013/34/ES  par noteiktu veidu uzņēmumu gada finanšu pārskatiem, konsolidētajiem finanšu pārskatiem un saistītiem ziņojumiem, ar ko groza Eiropas Parlamenta un Padomes Direktīvu 2006/43/EK un atceļ Padomes Direktīvas 78/660/EEK un 83/349/EEK (turpmāk - Direktīva 2013/34/ES), ir iekļautas  Gada pārskatu un konsolidēto gada pārskatu likumā (turpmāk – GPKGPL), izņemot šīs direktīvas 10.nodaļu "Ziņojums par maksājumiem pārvaldes struktūrām", 19.a pantu "Nefinanšu informācija", 29.a pantu "Konsolidētais nefinanšu paziņojums" un 35. pantu "Grozījums Direktīvā 2006/43/EK attiecībā uz revīzijas 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GPKGPL neattiecas uz kredītiestādēm, krājaizdevu sabiedrībām, apdrošināšanas sabiedrībām, pārapdrošināšanas sabiedrībām, privātajiem pensiju fondiem, ieguldījumu brokeru sabiedrībām, ieguldījumu pārvaldes sabiedrībām un alternatīvo ieguldījumu fondiem, kuri dibināti kā komercsabiedrības. Minēto sabiedrību darbību un gada pārskatu, kā arī konsolidēto gada pārskatu sagatavošanu regulē attiecīgo nozari reglamentējošie likumi un uz to pamata izdotie normatīvie akti, tai skaitā Latvijas Bankas noteikumi, kuros iekļauts arī Direktīvā 2013/34 paredzētais regulējums, kas attiecas uz minēto sabiedrību gada pārskatiem un konsolidētajiem gada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2022/2464  jaunās prasības nosaka, ka lielas sabiedrības, mazas (izņemot mikrosabiedrības) un vidējas sabiedrības, kuru pārvedami vērtspapīri ir iekļauti regulētajā tirgū, gada pārskata sastāvdaļā vadības ziņojumā iekļauj ilgtspējas ziņojumu.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divi jauni termini “ilgtspējas ziņojums” un “konsolidētais ilgtspējas ziņojums”, kuru skaidrojumu nepieciešams sniegt.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Kredītiestāžu likuma (turpmāk - Likums) 1.pantu ar ceturto daļu, kur skaidroti lietotie termini  “ilgtspējas ziņojums” un “konsolidētais ilgtspējas ziņojums.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2022/2464 preambulas 2. apsvērumā ir norādīts, ka savā 2018. gada 8. marta paziņojumā ar nosaukumu “Rīcības plāns: ilgtspējīgas izaugsmes finansēšana” (“Rīcības plāns ilgtspējīgas izaugsmes finansēšana”) Eiropas Komisija ir izklāstījusi pasākumus šādu mērķu sasniegšanai – pārorientēt kapitāla plūsmas uz ilgtspējīgiem ieguldījumiem, lai panāktu ilgtspējīgu un iekļaujošu izaugsmi, pārvaldīt finanšu riskus, kas izriet no klimata pārmaiņām, resursu izsmelšanas, vides degradācijas un sociālajām problēmām, un veicināt pārredzamību un ilgtermiņa pieeju finansiālajā un ekonomiskajā darbībā. Atbilstošas, salīdzināmas un ticamas ar ilgtspēju saistītas informācijas atklāšana, ko veic noteiktas uzņēmumu kategorijas, ir priekšnoteikums šo mērķu sasniegšanai. Eiropas Parlaments un Padome, īstenojot Rīcības plānu ilgtspējīgas izaugsmes finansēšanai, ir pieņēmuši vairākus leģislatīvus aktus. Eiropas Parlamenta un Padomes 2019. gada 27. novembra Regula (ES) 2019/2088 par informācijas atklāšanu, kas saistīta ar ilgtspēju, finanšu pakalpojumu nozarē nosaka kārtību, kādā finanšu tirgus dalībnieki un finanšu konsultanti atklāj ilgtspējas informāciju individuālajiem ieguldītājiem un aktīvu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75. panta normas nosaka prasības grāmatvedības kārtošanai.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75. panta normas aizstājot iepriekšējos likuma " Par grāmatvedību"  nosaukumu uz jauno “Grāmatvedības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Savienības tiesību aktus par starptautiskajiem grāmatvedības standartiem ir pieņemta Komisijas 2023. gada 13. augusta regula (ES) Nr. 2023/1803, ar ko pieņem vairākus starptautiskos grāmatvedības standartus saskaņā ar Eiropas Parlamenta un Padomes Regulu (EK) Nr. 1606/2002 (turpmāk – Regula Nr. 2023/1803).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Likuma 75. panta atsauci uz starptautiskajiem grāmatvedības standartiem, kas pieņemti saskaņā ar Regulu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79. panta normas nosakot, ka gada pārskatu sagatavo saskaņā arī ar Ilgtspējas informācijas atklāšanas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2022/2464 preambulas 27. apsvērumā  ir norādīts, ka kredītiestādēm un apdrošināšanas sabiedrībām ir svarīga loma pārejā uz pilnībā ilgtspējīgu un iekļaujošu ekonomikas un finanšu sistēmu saskaņā ar Zaļo kursu. Tām var būt būtiska pozitīva vai negatīva ietekme, veicot aizdošanas, ieguldīšanas un parakstīšanās darbības. Tādēļ kredītiestādēm un apdrošināšanas sabiedrībām – izņemot tās, kurām jāievēro Eiropas Parlamenta un Padomes 2013. gada 26. jūnija Direktīva 2013/34/ES  par noteiktu veidu uzņēmumu gada finanšu pārskatiem, konsolidētajiem finanšu pārskatiem un saistītiem ziņojumiem, ar ko groza Eiropas Parlamenta un Padomes Direktīvu 2006/43/EK un atceļ Padomes Direktīvas 78/660/EEK un 83/349/EEK (turpmāk - Direktīva 2013/34/ES) prasības –, tostarp kooperatīviem un savstarpējas apdrošināšanas tipa uzņēmumiem, būtu piemērojamas ilgtspējas ziņu sniegšanas prasības ar noteikumu, ka tās atbilst noteiktiem lieluma kritērijiem. Tādējādi ilgtspējas informācijas lietotājiem būtu iespēja izvērtēt gan šādu kredītiestāžu un apdrošināšanas sabiedrību ietekmi uz sabiedrību un vidi, gan riskus, kas izriet no ilgtspējas jautājumiem, ar ko šādas kredītiestādes un apdrošināšanas sabiedrības var saskarties. Direktīva 2013/34/ES paredz trīs iespējamus kritērijus uzņēmuma atzīšanai par lielu uzņēmumu, proti, bilances kopsumma, neto apgrozījums un vidējais darbinieku skaits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2013/34/ES  34. pants paredz to, ka arī ilgtspējas ziņojums un konsolidētais ilgtspējas ziņojums ir jāpārbauda zvērinātam revidentam.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 un konsolidēto gada pārskatu likuma 95. panta 5. daļā ir ietvertas normas attiecībā uz gada pārskata un konsolidētā gada pārskata parakstīšanu, kuras tika apspriestas Gada pārskatu un konsolidēto gada pārskatu likumprojekta sagatavošanas un saskaņošanas procesā Grāmatvedības darba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86. panta normas nosaka, ka gada pārskata un konsolidētā gada pārskata sagatavošanas kārtību, pamatojoties uz Eiropas Komisijas apstiprinātiem starptautiskajiem grāmatvedības standartiem un starptautiskajiem finanšu pārskatu standartiem, bet nenosaka gada pārskata un konsolidētā gada pārskata parakstīšanu.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86. pantu nosakot, ka apliecinājuma ziņojumu par ilgtspējas ziņojumu vai konsolidēto ilgtspējas ziņojumu  sniedz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arī ieviest normas, ka pēc zvērināta revidenta ziņojuma saņemšanas gada pārskatu vai konsolidēto gada pārskatu apstiprina akcionāru sapulce, gada pārskatu paraksta valde un konsolidēto gada pārskatu paraksta grupas mātes sabiedrība vadība, un finanšu pārskatu vai konsolidēto finanšu pārskatu paraksta arī grāmatvedis, kas to ir sagatavojis, lai ieviestu Gada pārskatu un konsolidēto gada pārskatu likuma 95. panta 5. daļā ietvertās normas attiecībā uz gada pārskata un konsolidētā gada pārskata parakstīšanu.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2022/2464 preambulas 55. apsvērumā  ir norādīts, ka Direktīvā 2013/34/ES nav prasīts, lai uzņēmumi savus vadības ziņojumus iesniegtu digitālā formātā, un tas apgrūtina iespējas atrast un izmantot paziņoto informāciju. Ilgtspējas informācijas lietotāji aizvien vairāk sagaida, ka šāda informācija būs atrodama, salīdzināma un mašīnlasāma digitālos formātos. Dalībvalstīm būtu jāspēj prasīt, lai uzņēmumi, uz kuriem attiecas Direktīvas 2013/34/ES ilgtspējas ziņu sniegšanas prasības, savus vadības ziņojumus bez maksas darītu publiski pieejamus savā tīmekļa vietnē. Digitalizācija rada iespējas efektīvāk izmantot informāciju, un tai ir potenciāls būtiski ietaupīt izmaksas gan lietotājiem, gan uzņēmumiem. Digitalizācija arī sniedz iespēju datus centralizēt Savienības un dalībvalstu līmenī atvērtā un pieejamā formātā, kas atvieglo lasīšanu un ļauj datus salīdzināt. Tādēļ būtu jāprasa, lai uzņēmumi savus vadības ziņojumus sagatavotu elektroniskās ziņošanas formātā, kas noteikts Komisijas 2018. gada 17. decembra Deleģētās regulas (ES) 2019/815, ar ko Eiropas Parlamenta un Padomes Direktīvu 2004/109/EK papildina attiecībā uz regulatīvajiem tehniskajiem standartiem par vienotā elektroniskās ziņošanas formāta specifikāciju (turpmāk - Deleģētajā regulā (ES) 2019/815) 3. pantā, un iezīmē savu ilgtspējas ziņu sniegšanu, tostarp Eiropas Parlamenta un Padomes 2020. gada 18. jūnija Regula (ES) 2020/852 par regulējuma izveidi ilgtspējīgu ieguldījumu veicināšanai un ar ko groza Regulu (ES) 2019/2088 (turpmāk - Regula (ES) 2020/852) 8. pantā prasīto atklājamo informāciju, saskaņā ar elektroniskās ziņošanas formātu, kas norādīts Deleģētajā regulā (ES) 2019/815, tiklīdz tas būs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Deleģētās regulas (ES) 2019/815 preambulas 2. apsvērumā ir norādīts, ka emitentiem visi gada finanšu pārskati būtu jāsagatavo paplašināmās hiperteksta iezīmēšanas valodas (XHTML) formātā. XHTML nav vajadzīgi īpaši mehānismi, lai to nodrošinātu cilvēklasāmā formātā. XHTML kā nepatentēts elektroniskās ziņošanas formāts ir brīvi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Deleģētās regulas (ES) 2019/815 preambulas 6. apsvērumā ir norādīts, ka XBRL iezīmēšanas valodas izmantošana ietver taksonomijas piemērošanu, lai cilvēklasāmo tekstu pārveidotu mašīnlasāmā informācijā. Starptautisko finanšu pārskatu standartu (SFPS) taksonomija, ko darījis pieejams SFPS fonds, ir vispāratzīta taksonomija, kas izstrādāta, lai iezīmētu SFPS noteikto atklājamo informāciju. SFPS taksonomijas izmantošana veicina saskaņā ar SFPS sagatavotu finanšu pārskatu iezīmējumu salīdzināmību pasaules mērogā. Tādējādi pamata taksonomija, kas jāizmanto vienotajam elektroniskajam ziņošanas formātam, būtu jābalsta uz SFPS taksonomiju, un tai jābūt tās paplašinājumam.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Deleģētās regulas (ES) 2019/815 preambulas 9. apsvērumā ir norādīts, ka pārredzamības, pieejamības, analīzes un salīdzināmības nolūkā, ja dalībvalstu tiesību akti pieļauj vai pieprasa gada finanšu pārskatu daļu iezīmēšanu, kas nav saskaņā ar SFPS sagatavotie konsolidētie finanšu pārskati, emitentiem, iezīmējot šīs daļas, būtu jāizmanto XBRL iezīmēšanas valoda un piemērota taksonomija, ko šim nolūkam paredzējusi dalībvalsts, kurā tie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Deleģēto regulu (ES) 2019/815  ir dažādi elektroniskās ziņošanas formāti pēc kādiem jāsagatavo gada pārskati. Piemēram, Deleģētās regulas (ES) 2019/815  3. pants nosaka, ka emitenti sagatavo visus gada finanšu pārskatus XHTML formātā. Savukārt Deleģētās regulas (ES) 2019/815  4. panta 1. punkts nosaka, ja gada finanšu pārskatos iekļauj saskaņā ar SFPS sagatavotos konsolidētos finanšu pārskatus, emitenti iezīmē šos konsolidētos finanšu pārskatus; 2. punkts nosaka, ka emitenti iezīmē vismaz to informāciju, kas norādīta II pielikumā, ja šī informācija ir sniegta saskaņā ar SFPS sagatavotajos konsolidētajos finanšu pārskatos; 4. punktā teikts, ka attiecībā uz iezīmējumiem, kas izklāstīti 1., 2. un 3. punktā, emitenti izmanto XBRL iezīmēšanas valodu un izmanto taksonomiju, kurā elementi ir tie, kas noteikti pamata taksonomijā. Ja saskaņā ar IV pielikuma 4. punktu pamata taksonomijas izmantošana nav piemērota, emitenti izveido paplašinājuma taksonomijas elementus, kā paredzēts IV pielikumā. Savukārt Deleģētās regulas (ES) 2019/815 5. pants nosaka gada finanšu pārskatu citu daļu iezīmēšanu.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89.</w:t>
      </w:r>
      <w:r w:rsidR="00000000" w:rsidRPr="00000000" w:rsidDel="00000000">
        <w:rPr>
          <w:vertAlign w:val="superscript"/>
          <w:rtl w:val="0"/>
        </w:rPr>
        <w:t xml:space="preserve">1</w:t>
      </w:r>
      <w:r w:rsidR="00000000" w:rsidRPr="00000000" w:rsidDel="00000000">
        <w:rPr>
          <w:rtl w:val="0"/>
        </w:rPr>
        <w:t xml:space="preserve"> pantu pirmo daļu un noteikt, ka tā kredītiestāde gada pārskatu vai konsolidēto gada pārskatu pēc apstiprināšanas iesniedz Valsts ieņēmumu dienesta elektroniskās deklarēšanas sistēmā gada pārskata vai konsolidētā gada pārskata atvasinājumu elektroniskā formā, un zvērināta revidenta ziņojuma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89.</w:t>
      </w:r>
      <w:r w:rsidR="00000000" w:rsidRPr="00000000" w:rsidDel="00000000">
        <w:rPr>
          <w:vertAlign w:val="superscript"/>
          <w:rtl w:val="0"/>
        </w:rPr>
        <w:t xml:space="preserve">1</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kas nosaka, ka Kredītiestāde uz kuras attiecas ilgtspējas ziņojuma sagatavošana, iesniedz Valsts ieņēmumu dienesta elektroniskās deklarēšanas sistēmā šā panta pirmajā daļā minētos dokumentus, kā arī apliecinājuma ziņojuma kopiju par ilgtspējas ziņojumu vai konsolidēto ilgtspējas ziņojumu vienotā elektroniskā ziņošanas formātā, kā noteikts Komisijas Deleģētajā regulā (ES) 2019/815.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89.</w:t>
      </w:r>
      <w:r w:rsidR="00000000" w:rsidRPr="00000000" w:rsidDel="00000000">
        <w:rPr>
          <w:vertAlign w:val="superscript"/>
          <w:rtl w:val="0"/>
        </w:rPr>
        <w:t xml:space="preserve">1</w:t>
      </w:r>
      <w:r w:rsidR="00000000" w:rsidRPr="00000000" w:rsidDel="00000000">
        <w:rPr>
          <w:rtl w:val="0"/>
        </w:rPr>
        <w:t xml:space="preserve"> panta otro daļa nosakot, ka saņemtos dokumentus Valsts ieņēmumu dienests ne vēlāk kā piecu darbdienu laikā elektroniski nodod Uzņēmumu reģistram tiešsaistes datu pārraides režīmā. Uzņēmumu reģistrs nodrošina saņemto dokumentu publisku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Likumu kredītiestāde pamatotā laikposmā publicē savā tīmekļvietnē pienācīgi apstiprinātu gada pārskatu vai konsolidēto gada pārskatu kopā ar zvērināta revidenta ziņojumu, kurš ir identisks parakstītajam zvērināta revidenta ziņojumam.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2022/2464 saskaņā ar ilgtspējas ziņu sniegšanas standartiem paredz prasību sagatavot ilgtspējas ziņojumu vai konsolidēto ilgtspējas ziņojumu. Kritiski svarīgi, lai pēc iespējas plašāka sabiedrības daļa varētu iepazīties ar šo sabiedrības sniegto informāciju, tai skaitā revidenta apliecinājuma ziņojumu par ilgtspējas ziņojumu.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89.</w:t>
      </w:r>
      <w:r w:rsidR="00000000" w:rsidRPr="00000000" w:rsidDel="00000000">
        <w:rPr>
          <w:vertAlign w:val="superscript"/>
          <w:rtl w:val="0"/>
        </w:rPr>
        <w:t xml:space="preserve">2</w:t>
      </w:r>
      <w:r w:rsidR="00000000" w:rsidRPr="00000000" w:rsidDel="00000000">
        <w:rPr>
          <w:rtl w:val="0"/>
        </w:rPr>
        <w:t xml:space="preserve"> un 91. pantu nosakot, ka apliecinājuma ziņojumu par ilgtspējas ziņojumu vai apliecinājuma ziņojumu par konsolidēto ilgtspējas ziņojumu arī publicē kredītiestādes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Sabiedrībām pienākums sagatavot ilgtspējas ziņojumu un konsolidētā ilgtspējas ziņojumu (ja tāds jāsagatavo) stājas spēkā Ilgtspējas informācijas atklāšanas likumā noteiktajā kārtībā. Paredzēts arī, ka subjektiem, uz kuriem attieksies Ilgtspējas informācijas atklāšanas likums, būs jāiesniedz Valsts ieņēmumu dienesta elektroniskās deklarēšanas sistēmā viss gada pārskats un konsolidētais gada pārskats (ja tāds ir), ne tikai vadības ziņojums, atbilstoši Deleģētajā regulā (ES) 2019/815 noteiktajam vienotajam elektroniskās ziņošanas formātam.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periods ir nepieciešams tāpēc, ka no sabiedrību finanšu pārskatiem, kas tiks sagatavoti saskaņā ar vienoto elektroniskās ziņošanas formātu, kas norādīts Deleģētajā regulā (ES) 2019/815, šobrīd Valsts ieņēmumu dienestam nav iespējams izgūt nepieciešamos finanšu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papildināti Likuma pārejas noteikumi ar 118. punktu, kas paredz, ka Kredītiestāde uz kuru attiecas ilgtspējas ziņojuma sagatavošana, līdz 2027. pārskata gadam, gada pārskatus un konsolidētos gada pārskatus Valsts ieņēmumu dienesta elektroniskās deklarēšanas sistēmā iesniedz, aizpildot strukturētās formas, tam papildus pievienojot datnes ar vienotā elektroniskās ziņošanas formātā sagatavotu vadības ziņojumu un finanšu pārskatu (ja tas sagatavots vienotā elektroniskās ziņošanas formātā) un konsolidēto finanšu pārskatu (ja tāds ir) un zvērināta revidenta apliecinājumu par ilgtspējas ziņojuma vai konsolidētā ilgtspējas ziņojuma atbilstību Ilgtspējas informācijas atklāšanas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visi Valsts ieņēmumu dienesta elektroniskās deklarēšanas sistēmā iesniegtie gada pārskati (gan strukturētā veidā, gan datnes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 no Valsts ieņēmumu dienesta Uzņēmumu reģistram ir veidojusies vēsturiski, lai izpildītu Eiropas Savienības prasības par augstvērtīgo datu kopu publicēšanu. 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izveidota un darbību uzsākusi Datu izplatīšanas un pārvaldības platforma, tad, lai optimizētu valsts kopējo resursu patēriņu, nākotnē tiek plānots, ka Valsts ieņēmumu dienests gada pārskatus un konsolidētos gada pārskatus (ja tāds ir) nodos tieši uz platformu. Savukārt, Uzņēmumu reģistrs varēs šos gada pārskatus arī paņemt no platformas.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vērtēti alternatīvi risinājumi jo ES Dalībvalstīm ir jāpārņem Direktīvas 2022/2464 prasības. Ilgtspējas informācijas atklāšanas likums ir pamatlikums ar kuru tiek pārņemtas Direktīvas 2022/2464/ES prasības un līdz ar to informācija par provizorisko administratīvo un atbilstības izmaksu monetāro novērtējumu, kā arī informācija par pēcpārbaudes (ex-post) izvērtējumu, ir sniegta pamatlikumā "Ilgtspējas informācijas atklāšanas likums". Tādējādi, visos pakārtotajos likumprojektos, t.sk., grozījumos Kredītiestāžu likumā, netiek norādīts administratīvo/atbilstības izmaksu monetārais novērtējums un informācija par ex-post izvērtējumu.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 Mazas (izņemot mikrosabiedrības) un vidējas sabiedrības, kuru pārvedami vērtspapīri ir iekļauti regulētajā tirgū. Saskaņā ar 2023. gada 5. decembra Valsts ieņēmumu dienesta sniegto informāciju mikrosabiedrības (skaits 104 916, īpatsvars 92,3 %), mazas (skaits 7484, īpatsvars 6,6%), vidējas (skaits 1041, īpatsvars 0,9%) un lielas (skaits 212, īpatsvars 0,2%) komercsabiedrības.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lielām sabiedrībām,  mazām (izņemot mikrosabiedrībām) un vidējām sabiedrībām, kuru pārvedami vērtspapīri ir iekļauti regulētajā tirgū, būs pienākums sagatavot ilgtspējas ziņojumu vai konsolidēto ilgtspējas ziņojumu, kas iekļauts Vadības ziņojumā atsevišķa sadaļā un nodrošināt, ka tas ir publiski pieejams, ja tas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skar zvērinātus revidentus, kas sniedz kredītiestādei ilgtspējas ziņojuma un konsolidētā ilgtspējas ziņojuma (ja tādu sagatavo) apliecinājuma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prasību finanšu instrumentu tirgus dalībniekiem gatavot ilgtspējas ziņojumu vai konsolidēto ilgtspējas ziņojumu, kuri tiek regulēti un ieviesti saskaņā ar Ilgtspējas informācijas atklāšanas likumu. Cilvēkresursu un finansiālo resursu ieguldījums ilgtspējas ziņojuma vai konsolidētā ilgtspējas ziņojuma kārtības izstrādei katram finanšu instrumentu tirgus dalībniekam ir atšķirīgs, ņemot vērā tā darbības apjomu, iekšējās sistēmas tehniskos risinājumus u.tml., līdz ar to nav precīzi aprēķināms.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Lielie uzņēmumi, Mazas (izņemot mikrosabiedrības) un vidējas sabiedrības, kuru pārvedami vērtspapīri ir iekļauti regulētajā tirgū. Saskaņā ar 2023. gada 5. decembra Valsts ieņēmumu dienesta sniegto informāciju mikrosabiedrības (skaits 104 916, īpatsvars 92,3 %), mazas (skaits 7484, īpatsvars 6,6%), vidējas (skaits 1041, īpatsvars 0,9%) un lielas (skaits 212, īpatsvars 0,2%) komercsabiedrības.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Likumprojekts nosaka prasību sabiedrībām sagatavot ilgtspējas ziņojumu, kas noteikts Ilgtspējas informācijas atklāšanas likumā. Cilvēkresursu un finansiālo resursu ieguldījums ilgtspējas ziņojuma kārtības izstrāde katrai sabiedrībai ir atšķirīga, ņemot vērā tā darbības apjomu, iekšējās sistēmas tehniskos risinājumus u.tml., līdz ar to nav precīzi aprēķināms.  Ilgtspējas informācijas atklāšanas likums ir pamatlikums ar kuru tiek pārņemtas Direktīvas 2022/2464/ES prasības un līdz ar to visas provizoriskās administratīvās izmaksas, kas uzņēmumiem radīsies saistībā ar ilgtspējas ziņojuma sagatavošanu ir norādītas likumprojektā "Ilgtspējas informācijas atklāšanas likums" (23-TA-3235).  Tādējādi, visos pakārtotajos likumprojektos, t.sk., grozījumos Kredītiestāžu likumā, netiek  norādīts administratīvo izmaksu monetārais novērtējums. Savukārt palielinot sabiedrību robežvērtību kritērijus, sabiedrībām papildu izmaksas nerodas, jo tā ir labvēlīga norma uzņēmumiem. Palielinoties sabiedrību robežvērtību kritērijiem, atbilstoši Komisijas deleģētās 2023. gada 21. decembra Direktīvai (ES) 2023/2775, ar ko Eiropas Parlamenta un Padomes Direktīvu 2013/34/ES groza attiecībā uz mikrouzņēmumu, mazo, vidējo un lielo uzņēmumu vai grupu lieluma kritēriju korekcijām  iespējams, samazināsies arī lielo uzņēmumu skaits, kam būs saistošas prasības sagatavot ilgtspējas ziņojumu.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"Ilgtspējas informācijas atklāšanas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"Ilgtspējas informācijas atklāšanas likums" (23-TA-3235).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Finanšu instrumentu tirgus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Finanšu instrumentu tirgus likumā" (23-TA-3280).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Apdrošināšanas un pārapdrošināšanas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Apdrošināšanas un pārapdrošināšanas likumā" (23-TA-3309).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Ieguldījumu brokeru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Ieguldījumu brokeru sabiedrību likumā" (23-TA-3298).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"Grozījumi Ieguldījumu pārvaldes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Ieguldījumu pārvaldes sabiedrību likumā" (23-TA-3287).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Likumprojekts “Grozījumi Privāto pensiju fondu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Privāto pensiju fondu likumā” (23-TA-3310).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"Grozījumi Grāmatvedības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Grāmatvedības likumā" (23-TA-2416).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"Grozījumi Gada pārskatu un konsolidēto gada pārskatu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Gada pārskatu un konsolidēto gada pārskatu likumā" (23-TA-3181)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Likumprojekts "Grozījumi Revīzijas pakalpojumu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Revīzijas pakalpojumu likumā" (23-TA-3278)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Likumprojekts "Grozījumi Publiskas personas kapitāla daļu un kapitālsabiedrību pārvaldības likumā" (23-TA-3259)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Publiskas personas kapitāla daļu un kapitālsabiedrību pārvaldības likumā" (23-TA-3259)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2022/2464, ar ko attiecībā uz korporatīvo ilgtspējas ziņu sniegšanu groza Regulu (ES) Nr. 537/2014, Direktīvu 2004/109/EK, Direktīvu 2006/43/EK un Direktīvu 2013/34/ES (publicēta "Eiropas Savienības Oficiālajā Vēstnesī" L 322/15, 16.12.2022.).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direktīva paredz noteikumus attiecībā uz ilgtspējas ziņojuma un konsolidēto ilgtspējas ziņojuma (ja ir pienākums tādu sagatavot) sagatavošanu un ilgtspējas ziņojuma un konsolidētā ilgtspējas ziņojuma (ja ir pienākums tādu sagatavot)  apliecinājuma veikšanu un to veicēju kompetenci un uzraudzību.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2022/2464, ar ko attiecībā uz korporatīvo ilgtspējas ziņu sniegšanu groza Regulu (ES) Nr. 537/2014, Direktīvu 2004/109/EK, Direktīvu 2006/43/EK un Direktīvu 2013/34/ES (publicēta "Eiropas Savienības Oficiālajā Vēstnesī" L 322/15, 16.12.2022.).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19a.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un 3. pantā iekļautie grozījumā Kredītiestāžu likuma 75. un 79.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29.d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pantā iekļautie iekļautie grozījumā Kredītiestāžu likuma 86. panta pirmā, trešā un ceturtā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33.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pantā iekļautie grozījumā Kredītiestāžu likuma 89.</w:t>
            </w:r>
            <w:r w:rsidR="00000000" w:rsidRPr="00000000" w:rsidDel="00000000">
              <w:rPr>
                <w:sz w:val="24"/>
                <w:vertAlign w:val="superscript"/>
                <w:rtl w:val="0"/>
              </w:rPr>
              <w:t xml:space="preserve">1</w:t>
            </w:r>
            <w:r w:rsidR="00000000" w:rsidRPr="00000000" w:rsidDel="00000000">
              <w:rPr>
                <w:sz w:val="24"/>
                <w:rtl w:val="0"/>
              </w:rPr>
              <w:t xml:space="preserve">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40.d. panta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un 7. pantā iekļautie iekļautie grozījumā Kredītiestāžu likuma 89.</w:t>
            </w:r>
            <w:r w:rsidR="00000000" w:rsidRPr="00000000" w:rsidDel="00000000">
              <w:rPr>
                <w:sz w:val="24"/>
                <w:vertAlign w:val="superscript"/>
                <w:rtl w:val="0"/>
              </w:rPr>
              <w:t xml:space="preserve">2</w:t>
            </w:r>
            <w:r w:rsidR="00000000" w:rsidRPr="00000000" w:rsidDel="00000000">
              <w:rPr>
                <w:sz w:val="24"/>
                <w:rtl w:val="0"/>
              </w:rPr>
              <w:t xml:space="preserve"> un 91.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Valsts ieņēmumu dienests, Valsts kanceleja,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Latvijas Zvērinātu revidentu asociācija, Latvijas Republikas Grāmatvežu asociācija, Latvijas Republikas Ārpakalpojuma Grāmatvežu Asociācija, Latvijas Korporatīvās sociālās atbildības platforma, Akciju sabiedrība “Swedbank”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izskatīts un ir konceptuāli saskaņots darba grupā, kas izveidota ar Finanšu ministrijas 2023.gada 16.februāra rīkojumu Nr.42, lai izstrādātu likumprojektu "Grozījumi Kredītiestāžu  likumā" Direktīvas 2022/2464 pārņemšanai. Likumprojekta izstrādes gaitā darba grupas sēdēs iesaistītie Valsts ieņēmumu dienesta, Tieslietu ministrijas, Valsts kancelejas, Latvijas Republikas Grāmatvežu asociācijas, Latvijas Zvērinātu revidentu asociācijas, Latvijas Republikas Ārpakalpojuma Grāmatvežu Asociācijas, Latvijas Finanšu nozares asociācijas, Latvijas Korporatīvās sociālās atbildības platformas, Latvijas Bankas un akciju sabiedrības “Swedbank” pārstāvji izvērtēja visas spēkā esošās Direktīvas 2022/2464 normas un darba grupas sēdēs vai elektroniskā viedokļu saskaņošanā pauda viedokli par likumprojektā iekļaujamo regulējumu. Darba grupā tika panākta vienošanās par visiem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pēc likuma stāšanās spēkā Finanšu ministrijas pārstāvji sniegs skaidrojumus publiskajā telpā dažāda formāta pasākumos, kā arī presē un medijos.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23-TA-3307</w:t>
    </w:r>
    <w:r>
      <w:br/>
    </w:r>
    <w:r w:rsidR="00000000" w:rsidRPr="00000000" w:rsidDel="00000000">
      <w:rPr>
        <w:rtl w:val="0"/>
      </w:rPr>
      <w:t xml:space="preserve">Izdrukāts 29.07.2026. 22.09 - 3.0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23-TA-3307</w:t>
    </w:r>
    <w:r>
      <w:br/>
    </w:r>
    <w:r w:rsidR="00000000" w:rsidRPr="00000000" w:rsidDel="00000000">
      <w:rPr>
        <w:rtl w:val="0"/>
      </w:rPr>
      <w:t xml:space="preserve">Izdrukāts 29.07.2026. 22.09 - 3.0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anotācija_(ex_ante)_23-TA-3307.docx</dc:title>
</cp:coreProperties>
</file>

<file path=docProps/custom.xml><?xml version="1.0" encoding="utf-8"?>
<Properties xmlns="http://schemas.openxmlformats.org/officeDocument/2006/custom-properties" xmlns:vt="http://schemas.openxmlformats.org/officeDocument/2006/docPropsVTypes"/>
</file>