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likumā "Par izložu un azartspēļu nodevu un nodokli""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2024. gada 20. augusta sēdes protokola Nr. 32 61. § "Informatīvais ziņojums "Par valsts pamatbudžeta un valsts speciālā budžeta bāzi un izdevumu pārskatīšanas rezultātiem 2025., 2026., 2027. un 2028. gadam"" 32.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2024. gada 19. septembra sēdes protokola Nr. 38 1. § "Informatīvais ziņojums "Par valsts budžeta ieņēmumu un nodokļu politikas pārskatīšanu 2025. – 2027. gadā"" 2.6. apakšpunkts.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nodrošināt papildu līdzekļus valsts budžetā, kas ļautu vairāk finansēt sabiedrības fiskālās un pieaugošās nacionālas drošības vajadzības nacionālās drošības risku apstākļos, vienlaicīgi īstenojot informatīvajā ziņojumā "Par valsts budžeta ieņēmumu un nodokļu politikas pārskatīšanu 2025. – 2027. gadā" paredzētos pasākumus, kas vērsti uz darbaspēka nodokļa sloga mazināšanu, tādējādi kopā ar citiem šajā informatīvajā ziņojumā paredzētajiem pasākumiem, veicinot ekonomisko izaugsmi un sabiedrības labklājību.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tiek virzīts likumprojekta "Par valsts budžetu 2025. gadam un budžeta ietvaru 2025., 2026. un 2027. gadam" pavadošo likumprojektu paketē, kas stājas spēkā ar 2025. gada 1. janvāri.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izložu un azartspēļu nodevu un nodokli" (turpmāk – likums) 7. pantā ir noteikta izložu nodokļa likme un apliekamais objekts izlozēm (arī momentloterijām). Šobrīd izložu nodokļa likme likuma 7. pantā noteiktajiem objektiem izlozēm (arī momentloterijām) ir 10%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azartspēļu nodeva par likuma 2. panta otrajā vai trešajā daļā minētās azartspēļu (spēļu automātu spēles, bingo, ruletes (cilindriskās spēles), kāršu spēles, kauliņu spēles, totalizatora, derību un veiksmes spēles pa tālruni) organizēšanas licences pārreģistrāciju ir 37 000 </w:t>
      </w:r>
      <w:r w:rsidR="00000000" w:rsidRPr="00000000" w:rsidDel="00000000">
        <w:rPr>
          <w:i w:val="1"/>
          <w:rtl w:val="0"/>
        </w:rPr>
        <w:t xml:space="preserve">euro</w:t>
      </w:r>
      <w:r w:rsidR="00000000" w:rsidRPr="00000000" w:rsidDel="00000000">
        <w:rPr>
          <w:rtl w:val="0"/>
        </w:rPr>
        <w:t xml:space="preserve">. Azartspēļu organizēšanas licences ikgadējā pārreģistrācija veicama, sākot ar nākamo gadu pēc attiecīgās licences izsniegšanas. Azartspēļu nodevu par azartspēļu organizēšanas licences pārreģistrāciju maksā par katru kārtējo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saskaņā ar likuma 3. panta pirmo daļu azartspēļu nodokļa likme par katru kārtējo kalendāro gadu ruletei (cilindriskajai spēlei) (par katru ruletes rotējošajai iekārtai pievienoto spēļu galdu) un kāršu un kauliņu spēlēm (par katru galdu) ir 33 696 </w:t>
      </w:r>
      <w:r w:rsidR="00000000" w:rsidRPr="00000000" w:rsidDel="00000000">
        <w:rPr>
          <w:i w:val="1"/>
          <w:rtl w:val="0"/>
        </w:rPr>
        <w:t xml:space="preserve">euro</w:t>
      </w:r>
      <w:r w:rsidR="00000000" w:rsidRPr="00000000" w:rsidDel="00000000">
        <w:rPr>
          <w:rtl w:val="0"/>
        </w:rPr>
        <w:t xml:space="preserve"> apmērā un azartspēļu automātiem (par katra azartspēļu automāta katru spēles vietu) ir 6204 </w:t>
      </w:r>
      <w:r w:rsidR="00000000" w:rsidRPr="00000000" w:rsidDel="00000000">
        <w:rPr>
          <w:i w:val="1"/>
          <w:rtl w:val="0"/>
        </w:rPr>
        <w:t xml:space="preserve">euro</w:t>
      </w:r>
      <w:r w:rsidR="00000000" w:rsidRPr="00000000" w:rsidDel="00000000">
        <w:rPr>
          <w:rtl w:val="0"/>
        </w:rPr>
        <w:t xml:space="preserve"> apmērā. Savukārt, saskaņā ar likuma 3. panta otro, trešo, ceturto un piekto daļu azartspēļu nodoklis veiksmes spēlei pa tālruni un totalizatoram un derībām ir 15% apmērā, bingo ir 10% apmērā un azartspēlēm, kuras organizē, izmantojot telekomunikācijas (turpmāk arī – interaktīvās azartspēles), ir 12% apmērā no šīs spēles organizēšanas ieņēmumiem.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2. panta ceturtajā daļā un 3. panta pirmajā daļā azartspēļu nodevas un nodokļa likmes ir noteiktas absolūtā izteiksmē, nevis procentuālā izteiksmē kā lielākajai daļai nodokļu, kuras neietekmē inflācija. Līdz ar to būtu lietderīgi pārskatīt absolūtā izteiksmē noteiktās azartspēļu nodevas un nodokļa likmes ik pēc noteikta laika perioda.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2016. gada 1. janvāra azartspēļu nodevas likme par azartspēļu organizēšanas licences pārreģistrāciju nav mainījusies.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Azartspēļu nozare ir saistīta ar īpaši augstu sociālo risku, tādēļ valstij ir nepieciešams veikt regulējošo funkciju, kas daļēji tiek īstenota ar azartspēļu nodevas un nodokļa palīdzību.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Izložu un azartspēļu nodoklim un nodevai ir fiskālā funkcija, kuras uzdevums ir nodrošināt valsts budžeta ieņēmumus un vismaz daļēji mazināt nozares iespējamās negatīvās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Izložu un azartspēļu uzraudzības inspekcijas datiem, salīdzinot ar 2019. gadu, neto apgrozījums no skaitļu izlozēm un momentloterijām 2022. gadā ir pieaudzis par 63,7% un 2023. gadā – par 90,9%, savukārt peļņa 2022. gadā ir pieaugusi par 81,5% un 2023. gadā – par 89,3%, salīdzinot ar 2019.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izložu nodokļa likme likumā noteiktajiem objektiem izlozēm (arī momentloterijām) ir 10% apmērā. Kopš 2017. gada 1. janvāra izložu nodokļa likme nav mainījusies.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Jāatzīmē, ka Lietuvā izložu nodokļa likme izlozēm ir 18%. Igaunijā no 2024. gada izložu nodokļa likme izlozēm tika palielināta no 18% apmēra uz 22%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Izložu un azartspēļu uzraudzības inspekcijas datiem azartspēļu organizētāju ieņēmumi no interaktīvajām azartspēlēm 2022. gadā ir pieauguši par 126,7% un 2023. gadā – par 150,1%, salīdzinot ar 2019.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2022. un 2023. gadā, salīdzinot ar 2019. gadu, azartspēļu nozares ieņēmumu struktūrā ir vērojamas izmaiņas un tajā būtiski palielinājies ieņēmumu īpatsvars no interaktīvajām azartspēlēm. Latvijā no 2024. gada 1. janvāra azartspēļu nodokļu likme interaktīvajām azartspēlēm ir 12%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Jāatzīmē, ka šobrīd Lietuvā azartspēļu nodoklis interaktīvajām azartspēlēm ir 20% apmērā no organizēšanas ieņēmumiem, bet, sākot ar 2025. gadu, Lietuvā plānots paaugstināt azartspēļu nodokļa likmi interaktīvajām azartspēlēm līdz 22% apmēram. Igaunijā, sākot ar 2024. gadu, azartspēļu nodoklis interaktīvajām azartspēlēm tika paaugstināts no 5% apmēra uz 6% apmēru, bet, sākot ar 2026. gadu, plānots paaugstināt līdz 7% apmēram no organizēšanas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Lietuvā, sākot ar 2025. gadu, plānots paaugstināt azartspēļu nodokli arī azartspēļu automātu un galdu spēlēm, bingo, totalizatoram un derībām no 20% apmēra uz 22% apmēru no organizēšanas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informatīvajā ziņojumā "Par valsts budžeta ieņēmumu un nodokļu politikas pārskatīšanu 2025. – 2027. gadā" paredzētajiem pasākumiem, kas vērsti uz darbaspēka nodokļa sloga mazināšanu, ir jāparedz pasākumi, kas varētu daļēji kompensēt negatīvo fiskālo ietekmi no darbaspēka nodokļa sloga mazināšanas pasākumiem, kā arī nepieciešams palielināt valsts budžeta ieņēmumus, lai nodrošinātu papildu finansējumu valsts nacionālās drošības un sabiedrības fiskālajām vajadzībām nacionālās drošības risku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sākot ar 2025.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paaugstināt izložu nodokļa likmi likuma 7. panta 1., 2. un 3. punktā minētajam apliekamajam objektam izlozēm (arī momentloterijām) no 10% apmēra uz 15%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paaugstināt likuma 2. panta ceturtajā daļā noteikto azartspēļu nodevu par šā panta otrajā un trešajā daļā minētās azartspēļu organizēšanas licences pārreģistrāciju no 37 000 </w:t>
      </w:r>
      <w:r w:rsidR="00000000" w:rsidRPr="00000000" w:rsidDel="00000000">
        <w:rPr>
          <w:i w:val="1"/>
          <w:rtl w:val="0"/>
        </w:rPr>
        <w:t xml:space="preserve">euro</w:t>
      </w:r>
      <w:r w:rsidR="00000000" w:rsidRPr="00000000" w:rsidDel="00000000">
        <w:rPr>
          <w:rtl w:val="0"/>
        </w:rPr>
        <w:t xml:space="preserve"> apmēra uz 45 000 </w:t>
      </w:r>
      <w:r w:rsidR="00000000" w:rsidRPr="00000000" w:rsidDel="00000000">
        <w:rPr>
          <w:i w:val="1"/>
          <w:rtl w:val="0"/>
        </w:rPr>
        <w:t xml:space="preserve">euro</w:t>
      </w:r>
      <w:r w:rsidR="00000000" w:rsidRPr="00000000" w:rsidDel="00000000">
        <w:rPr>
          <w:rtl w:val="0"/>
        </w:rPr>
        <w:t xml:space="preserve"> apmēru par katru kārtējo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sākot ar 2027.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paaugstināt azartspēļu nodokļa likmi azartspēļu automātiem (par katra azartspēļu automāta katru spēles vietu) par kalendāro gadu no 6204 </w:t>
      </w:r>
      <w:r w:rsidR="00000000" w:rsidRPr="00000000" w:rsidDel="00000000">
        <w:rPr>
          <w:i w:val="1"/>
          <w:rtl w:val="0"/>
        </w:rPr>
        <w:t xml:space="preserve">euro</w:t>
      </w:r>
      <w:r w:rsidR="00000000" w:rsidRPr="00000000" w:rsidDel="00000000">
        <w:rPr>
          <w:rtl w:val="0"/>
        </w:rPr>
        <w:t xml:space="preserve"> uz 7440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paaugstināt azartspēļu nodokļa likmi ruletei un kāršu un kauliņu spēlei (par katru galdu) par kalendāro gadu no 33 696 </w:t>
      </w:r>
      <w:r w:rsidR="00000000" w:rsidRPr="00000000" w:rsidDel="00000000">
        <w:rPr>
          <w:i w:val="1"/>
          <w:rtl w:val="0"/>
        </w:rPr>
        <w:t xml:space="preserve">euro</w:t>
      </w:r>
      <w:r w:rsidR="00000000" w:rsidRPr="00000000" w:rsidDel="00000000">
        <w:rPr>
          <w:rtl w:val="0"/>
        </w:rPr>
        <w:t xml:space="preserve"> uz 40 440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paaugstināt azartspēļu nodokļa likmi likuma 3. panta otrajā un trešajā daļā minētajam objektam (veiksmes spēlei pa tālruni un totalizatoram un derībām) no 15 % apmēra uz 18 % apmēru no šīs spēles organizēšanas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paaugstināt azartspēļu nodokļa likmi likuma 3. panta ceturtajā daļā minētajam objektam (bingo) no 10% apmēra uz 12 % apmēru no šīs spēles organizēšanas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paaugstināt azartspēļu nodokļa likmi likuma 3. panta piektajā daļā minētajam objektam (interaktīvajām azartspēlēm) no 12 % apmēra uz 15 % apmēru no šīs spēles organizēšanas ieņēmumiem (līdzīgi kā likumprojektā paredzēts, sākot ar 2025. gadu, noteikt izlozēm).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likumprojektā ietverto normu atbilstību Latvijas Republikas Satversmes 105. panta pirmajam teikumam, secināms, ka likumprojekta normās ietvertajam pamattiesību ierobežojumam ir leģitīms mērķis, jo tas ir vērsts uz sabiedrības labklājības aizsardzību. Azartspēļu nozare ir saistīta ar īpaši augstu sociālo risku, tādēļ valstij ir nepieciešams veikt regulējošo funkciju, kas daļēji tiek īstenota ar azartspēļu nodevas un nodokļa palīdzību. Izložu un azartspēļu nodoklim un nodevai ir fiskālā funkcija, kuras uzdevums ir nodrošināt valsts budžeta ieņēmumus un vismaz daļēji mazināt nozares iespējamās negatīvās sekas. Likuma 2. panta ceturtajā daļā un 3. panta pirmajā daļā azartspēļu nodevas un nodokļa likmes ir noteiktas absolūtā izteiksmē, nevis procentuālā izteiksmē kā lielākajai daļai nodokļu, kuras neietekmē inflācija. Līdz ar to, lai nodrošinātu fiskālo un regulējošo funkciju, tās ir regulāri jāpārskata. Likumprojektā paredzēts paaugstināt izložu nodokli, azartspēļu nodevu par azartspēļu organizēšanas licences pārreģistrāciju un vidējā termiņā azartspēļu nodokli. Likumprojektā ietvertās normas ir vērstas uz papildu ienākumu nodrošināšanu valsts budžetā, tai skaitā uz papildu finansējuma nodrošināšanu valsts nacionālās drošības un sabiedrības fiskālajām vajadzībām, kā arī uz papildu finansējuma nodrošināšanu Valsts kultūrkapitāla fondam, kuram, sākot ar 2024. gada 1. janvāri, valsts budžeta līdzekļu piešķīrums paredzēts trīs procentu apmērā no plānotajiem kārtējā gada valsts budžeta ieņēmumiem no azartspēļu nodokļa un trīs procentu apmērā no plānotajiem kārtējā gada valsts budžeta ieņēmumiem no izložu nodokļa. Turklāt izložu nodoklis un azartspēļu nodoklis un nodeva ir vērsts uz finansējuma nodrošināšanu azartspēļu organizēšanas uzraudzībai, kuru veic Izložu un azartspēļu uzraudzības inspekcija, lai nodrošinātu azartspēļu jomu regulējošo normatīvo aktu prasību ievērošanu. Tāpat likumprojektā ietvertās normas ir vērstas arī uz papildu ienākumu nodrošināšanu pašvaldību budžetos. Ņemot vērā minēto, likumprojekta normās ietvertais pamattiesību ierobežojums ir samērīgs ar tā leģitīmo mērķi.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Kapitālsabiedrības, kas organizē azartspēles vai izlozes. Pašlaik Latvijā azartspēles organizē 19 licencēti azartspēļu organizētāji un izlozes organizē VAS "Latvijas Loto".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55 476 220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53 448 419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54 143 919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2 862 000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12 517 744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53 980 860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52 083 349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52 772 349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2 862 000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12 321 807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1 495 360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1 365 070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195 937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55 476 220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53 448 419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54 143 919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53 980 860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52 083 349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52 772 349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1 495 360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1 365 070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2 862 000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12 517 744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2 862 000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12 321 807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195 937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2 862 000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12 517 744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2 862 000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12 321 807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195 937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Realizējot visus likumprojektā paredzētos pasākumus - paaugstinot izložu nodokli, azartspēļu nodokli un azartspēļu nodevu par azartspēļu organizēšanas licences pārreģistrāciju, kopējā fiskālā ietekme 2025. gadā tiek prognozēta +2,7 milj. </w:t>
            </w:r>
            <w:r w:rsidR="00000000" w:rsidRPr="00000000" w:rsidDel="00000000">
              <w:rPr>
                <w:sz w:val="24"/>
                <w:i w:val="1"/>
                <w:rtl w:val="0"/>
              </w:rPr>
              <w:t xml:space="preserve">euro</w:t>
            </w:r>
            <w:r w:rsidR="00000000" w:rsidRPr="00000000" w:rsidDel="00000000">
              <w:rPr>
                <w:sz w:val="24"/>
                <w:rtl w:val="0"/>
              </w:rPr>
              <w:t xml:space="preserve">, 2026. gadā +2,9 milj. </w:t>
            </w:r>
            <w:r w:rsidR="00000000" w:rsidRPr="00000000" w:rsidDel="00000000">
              <w:rPr>
                <w:sz w:val="24"/>
                <w:i w:val="1"/>
                <w:rtl w:val="0"/>
              </w:rPr>
              <w:t xml:space="preserve">euro</w:t>
            </w:r>
            <w:r w:rsidR="00000000" w:rsidRPr="00000000" w:rsidDel="00000000">
              <w:rPr>
                <w:sz w:val="24"/>
                <w:rtl w:val="0"/>
              </w:rPr>
              <w:t xml:space="preserve"> un 2027. gadā  +12,5 milj.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izložu nodokļa likme ir 10 procenti no izlozes (arī momentloterijas) biļešu realizācijas ieņēmumiem un no interaktīvās izlozes (naudas, mantu, skaitļu izlozes un momentloterijas) biļešu realizācijas ieņēmumiem, no kuriem atskaitīti izmaksātie laimesti.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Likmi paaugstinot no 10% uz 15%, fiskālā ietekme attiecībā uz izložu nodokli tiek prognozēta +2,5 milj. </w:t>
            </w:r>
            <w:r w:rsidR="00000000" w:rsidRPr="00000000" w:rsidDel="00000000">
              <w:rPr>
                <w:sz w:val="24"/>
                <w:i w:val="1"/>
                <w:rtl w:val="0"/>
              </w:rPr>
              <w:t xml:space="preserve">euro</w:t>
            </w:r>
            <w:r w:rsidR="00000000" w:rsidRPr="00000000" w:rsidDel="00000000">
              <w:rPr>
                <w:sz w:val="24"/>
                <w:rtl w:val="0"/>
              </w:rPr>
              <w:t xml:space="preserve"> 2025. gadā, +2,7 milj. </w:t>
            </w:r>
            <w:r w:rsidR="00000000" w:rsidRPr="00000000" w:rsidDel="00000000">
              <w:rPr>
                <w:sz w:val="24"/>
                <w:i w:val="1"/>
                <w:rtl w:val="0"/>
              </w:rPr>
              <w:t xml:space="preserve">euro</w:t>
            </w:r>
            <w:r w:rsidR="00000000" w:rsidRPr="00000000" w:rsidDel="00000000">
              <w:rPr>
                <w:sz w:val="24"/>
                <w:rtl w:val="0"/>
              </w:rPr>
              <w:t xml:space="preserve"> 2026. gadā un +2,9 milj. </w:t>
            </w:r>
            <w:r w:rsidR="00000000" w:rsidRPr="00000000" w:rsidDel="00000000">
              <w:rPr>
                <w:sz w:val="24"/>
                <w:i w:val="1"/>
                <w:rtl w:val="0"/>
              </w:rPr>
              <w:t xml:space="preserve">euro</w:t>
            </w:r>
            <w:r w:rsidR="00000000" w:rsidRPr="00000000" w:rsidDel="00000000">
              <w:rPr>
                <w:sz w:val="24"/>
                <w:rtl w:val="0"/>
              </w:rPr>
              <w:t xml:space="preserve"> 2027. gadā. Likmju paaugstināšanas ietekme būs fiskāli pozitīva, jo izložu organizētājs ir valsts kapitālsabiedrība ar monopola stāvokli tirgū un savu klientu segmentu.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Izložu un azartspēļu uzraudzības inspekcijas datiem pašreiz ir izsniegtas 19 azartspēļu organizēšanas licences, attiecīgi azartspēļu nodevas ieņēmumu palielinājums ir 152 000 </w:t>
            </w:r>
            <w:r w:rsidR="00000000" w:rsidRPr="00000000" w:rsidDel="00000000">
              <w:rPr>
                <w:sz w:val="24"/>
                <w:i w:val="1"/>
                <w:rtl w:val="0"/>
              </w:rPr>
              <w:t xml:space="preserve">euro</w:t>
            </w:r>
            <w:r w:rsidR="00000000" w:rsidRPr="00000000" w:rsidDel="00000000">
              <w:rPr>
                <w:sz w:val="24"/>
                <w:rtl w:val="0"/>
              </w:rPr>
              <w:t xml:space="preserve"> ((45 000 – 37 000) * 19). Prognozētie papildu ieņēmumi no azartspēļu nodevas 2025. gadā un turpmākajos gados 152 000 </w:t>
            </w:r>
            <w:r w:rsidR="00000000" w:rsidRPr="00000000" w:rsidDel="00000000">
              <w:rPr>
                <w:sz w:val="24"/>
                <w:i w:val="1"/>
                <w:rtl w:val="0"/>
              </w:rPr>
              <w:t xml:space="preserve">euro</w:t>
            </w:r>
            <w:r w:rsidR="00000000" w:rsidRPr="00000000" w:rsidDel="00000000">
              <w:rPr>
                <w:sz w:val="24"/>
                <w:rtl w:val="0"/>
              </w:rPr>
              <w:t xml:space="preserve"> apmērā ik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viena azartspēļu automāta azartspēļu nodokļa likme ir 6204 </w:t>
            </w:r>
            <w:r w:rsidR="00000000" w:rsidRPr="00000000" w:rsidDel="00000000">
              <w:rPr>
                <w:sz w:val="24"/>
                <w:i w:val="1"/>
                <w:rtl w:val="0"/>
              </w:rPr>
              <w:t xml:space="preserve">euro</w:t>
            </w:r>
            <w:r w:rsidR="00000000" w:rsidRPr="00000000" w:rsidDel="00000000">
              <w:rPr>
                <w:sz w:val="24"/>
                <w:rtl w:val="0"/>
              </w:rPr>
              <w:t xml:space="preserve"> gadā. Likmi paaugstinot uz 7440 </w:t>
            </w:r>
            <w:r w:rsidR="00000000" w:rsidRPr="00000000" w:rsidDel="00000000">
              <w:rPr>
                <w:sz w:val="24"/>
                <w:i w:val="1"/>
                <w:rtl w:val="0"/>
              </w:rPr>
              <w:t xml:space="preserve">euro</w:t>
            </w:r>
            <w:r w:rsidR="00000000" w:rsidRPr="00000000" w:rsidDel="00000000">
              <w:rPr>
                <w:sz w:val="24"/>
                <w:rtl w:val="0"/>
              </w:rPr>
              <w:t xml:space="preserve"> par vienu spēļu automātu, tiek prognozēts 5,0% automātu skaita samazinājums (no 4,6 tūkst. vidēji gadā uz 4,3 tūkst. vidēji gadā). Līdz ar to fiskālā ietekme attiecībā uz azartspēļu nodokli 2027. gadā tiek prognozēta +3,6 milj. </w:t>
            </w:r>
            <w:r w:rsidR="00000000" w:rsidRPr="00000000" w:rsidDel="00000000">
              <w:rPr>
                <w:sz w:val="24"/>
                <w:i w:val="1"/>
                <w:rtl w:val="0"/>
              </w:rPr>
              <w:t xml:space="preserve">euro</w:t>
            </w:r>
            <w:r w:rsidR="00000000" w:rsidRPr="00000000" w:rsidDel="00000000">
              <w:rPr>
                <w:sz w:val="24"/>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likme ruletei un kāršu un kauliņu  spēlei (par katru galdu) ir 33 696 </w:t>
            </w:r>
            <w:r w:rsidR="00000000" w:rsidRPr="00000000" w:rsidDel="00000000">
              <w:rPr>
                <w:sz w:val="24"/>
                <w:i w:val="1"/>
                <w:rtl w:val="0"/>
              </w:rPr>
              <w:t xml:space="preserve">euro</w:t>
            </w:r>
            <w:r w:rsidR="00000000" w:rsidRPr="00000000" w:rsidDel="00000000">
              <w:rPr>
                <w:sz w:val="24"/>
                <w:rtl w:val="0"/>
              </w:rPr>
              <w:t xml:space="preserve"> gadā. Likmi paaugstinot uz 40 440 </w:t>
            </w:r>
            <w:r w:rsidR="00000000" w:rsidRPr="00000000" w:rsidDel="00000000">
              <w:rPr>
                <w:sz w:val="24"/>
                <w:i w:val="1"/>
                <w:rtl w:val="0"/>
              </w:rPr>
              <w:t xml:space="preserve">euro</w:t>
            </w:r>
            <w:r w:rsidR="00000000" w:rsidRPr="00000000" w:rsidDel="00000000">
              <w:rPr>
                <w:sz w:val="24"/>
                <w:rtl w:val="0"/>
              </w:rPr>
              <w:t xml:space="preserve"> par vienu galdu, galdu skaita samazinājums pret iepriekš plānoto netiek prognozēts. Līdz ar to fiskālā ietekme azartspēļu nodokļa ieņēmumos 2027. gadā tiek prognozēta +0,2 milj. </w:t>
            </w:r>
            <w:r w:rsidR="00000000" w:rsidRPr="00000000" w:rsidDel="00000000">
              <w:rPr>
                <w:sz w:val="24"/>
                <w:i w:val="1"/>
                <w:rtl w:val="0"/>
              </w:rPr>
              <w:t xml:space="preserve">euro</w:t>
            </w:r>
            <w:r w:rsidR="00000000" w:rsidRPr="00000000" w:rsidDel="00000000">
              <w:rPr>
                <w:sz w:val="24"/>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nodokļa likme interaktīvajām azartspēlēm ir 12% no šīs azartspēles organizēšanas ieņēmumiem. Tiek pieņemts, ka, paceļot likmi no 12% uz 15%, apgrozījums no interaktīvajām azartspēlēm saglabās mērenu pieaugumu 9% gadā. Līdz ar to fiskālā ietekme attiecībā uz azartspēļu nodokli 2027. gadā tiek prognozēta +5,5 milj. </w:t>
            </w:r>
            <w:r w:rsidR="00000000" w:rsidRPr="00000000" w:rsidDel="00000000">
              <w:rPr>
                <w:sz w:val="24"/>
                <w:i w:val="1"/>
                <w:rtl w:val="0"/>
              </w:rPr>
              <w:t xml:space="preserve">euro</w:t>
            </w:r>
            <w:r w:rsidR="00000000" w:rsidRPr="00000000" w:rsidDel="00000000">
              <w:rPr>
                <w:sz w:val="24"/>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nodokļa likme veiksmes spēlēm pa tālruni un totalizatoriem un derībām ir 15% no šīs azartspēles organizēšanas ieņēmumiem. Tiek pieņemts, ka paceļot likmi no 15% uz 18%, apgrozījums saglabās mērenu pieaugumu 5% gadā. Līdz ar to fiskālā ietekme attiecībā uz azartspēļu nodokli 2027. gadā tiek prognozēta +0,06 milj. </w:t>
            </w:r>
            <w:r w:rsidR="00000000" w:rsidRPr="00000000" w:rsidDel="00000000">
              <w:rPr>
                <w:sz w:val="24"/>
                <w:i w:val="1"/>
                <w:rtl w:val="0"/>
              </w:rPr>
              <w:t xml:space="preserve">euro</w:t>
            </w:r>
            <w:r w:rsidR="00000000" w:rsidRPr="00000000" w:rsidDel="00000000">
              <w:rPr>
                <w:sz w:val="24"/>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nodokļa likme bingo spēlēm ir 10% no šīs azartspēles organizēšanas ieņēmumiem. Tiek pieņemts, ka paceļot likmi no 10% uz 12%, apgrozījums no bingo spēlēm varētu saglabāties esošajā līmenī. Līdz ar to fiskālā ietekme attiecībā uz azartspēļu nodokli 2027. gadā tiek prognozēta +0,04 milj. </w:t>
            </w:r>
            <w:r w:rsidR="00000000" w:rsidRPr="00000000" w:rsidDel="00000000">
              <w:rPr>
                <w:sz w:val="24"/>
                <w:i w:val="1"/>
                <w:rtl w:val="0"/>
              </w:rPr>
              <w:t xml:space="preserve">euro</w:t>
            </w:r>
            <w:r w:rsidR="00000000" w:rsidRPr="00000000" w:rsidDel="00000000">
              <w:rPr>
                <w:sz w:val="24"/>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ietekmes sadalījums pa gadiem un budžetiem iekļauts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valsts pamatbudžeta ieņēmumi ir ieplānoti likumprojektā "Par valsts budžetu 2025. gadam un budžeta ietvaru 2025., 2026. un 2027. gadam".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papildu līdzekļus valsts budžetā valsts nacionālās drošības un sabiedrības fiskālajām vajadzībām nacionālās drošības risku apstākļos, kā arī pasākumus, kas vērsti uz darbaspēka nodokļa sloga samazināšanu, likumprojektā paredzētie pasākumi kā kompensējoši pasākumi tika izskatīti Nacionālās trīspusējās sadarbības padomes 2024. gada 6. septembra sēdē un Ministru kabineta 2024. gada 19. septembra sēdē.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Izložu un azartspēļu uzraudzības inspekcija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24-TA-2319</w:t>
    </w:r>
    <w:r>
      <w:br/>
    </w:r>
    <w:r w:rsidR="00000000" w:rsidRPr="00000000" w:rsidDel="00000000">
      <w:rPr>
        <w:rtl w:val="0"/>
      </w:rPr>
      <w:t xml:space="preserve">Izdrukāts 29.07.2026. 23.35 - 2.0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24-TA-2319</w:t>
    </w:r>
    <w:r>
      <w:br/>
    </w:r>
    <w:r w:rsidR="00000000" w:rsidRPr="00000000" w:rsidDel="00000000">
      <w:rPr>
        <w:rtl w:val="0"/>
      </w:rPr>
      <w:t xml:space="preserve">Izdrukāts 29.07.2026. 23.35 - 2.0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anotācija_(ex_ante)_24-TA-2319.docx</dc:title>
</cp:coreProperties>
</file>

<file path=docProps/custom.xml><?xml version="1.0" encoding="utf-8"?>
<Properties xmlns="http://schemas.openxmlformats.org/officeDocument/2006/custom-properties" xmlns:vt="http://schemas.openxmlformats.org/officeDocument/2006/docPropsVTypes"/>
</file>