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2025. gada 1. aprīļa noteikumos Nr. 213 "Valsts un Eiropas Savienības atbalsta piešķiršanas kārtība Eiropas Lauksaimniecības fonda lauku attīstībai intervencē "Mākslīgo mitrāju izveide"""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"Grozījumi Ministru kabineta 2025. gada 1. aprīļa noteikumos Nr. 213 "Valsts un Eiropas Savienības atbalsta piešķiršanas kārtība Eiropas Lauksaimniecības fonda lauku attīstībai intervencē "Mākslīgo mitrāju izveide"" (turpmāk – noteikumu projekts) ir sagatavots, pamatojoties uz Lauksaimniecības un lauku attīstības likuma 5. panta ceturto un septīto daļu.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Izdarīt grozījumus 2025. gada 1. aprīļa noteikumos Nr. 213 "Valsts un Eiropas Savienības atbalsta piešķiršanas kārtība Eiropas Lauksaimniecības fonda lauku attīstībai intervencē "Mākslīgo mitrāju izveide"" (turpmāk – noteikumi Nr. 213), lai novērstu pirmajā projektu pieteikumu kārtā konstatētās nepilnības un Lauku atbalsta dienests varētu turpmāk nodrošināt korektu un pārskatāmu atbalsta administrēšanu, ievērojot labas finanšu pārvaldības principus.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2025. gada 15. maija līdz 2026. gada 30. jūnijam Lauku atbalsta dienests (turpmāk – LAD) ir izsludinājis projektu iesniegumu pieņemšanu Eiropas Lauksaimniecības fonda lauku attīstībai (turpmāk - ELFLA) un Kopējās lauksaimniecības politikas stratēģiskā plāna 2023.-2027. gadam (turpmāk – KLP SP) intervencē LA 4.5. "Mākslīgo mitrāju izveide" saskaņā ar Ministru kabineta 2023. gada 7. marta noteikumiem Nr. 113 "Valsts un Eiropas Savienības atbalsta piešķiršanas, administrēšanas un uzraudzības vispārējā kārtība lauku un zivsaimniecības attīstībai" un noteikumiem Nr. 213 atklātu projektu iesniegumu konkursu veidā 2023.–2027. gada plānošanas periodam. Izvērtējot vairākus saņemtos projektu pieteikumus, tika secināts, ka ir nepieciešams precizēt noteikumu Nr. 213 redakciju, lai, ievērojot labas finanšu pārvaldības principus, nodrošinātu korektu un pārskatāmu atbalsta administrēšanu.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LAD ir konstatējis, ka noteikumu Nr. 213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10. punkts ir jāsvītro, jo Būvniecības informācijas sistēmā (turpmāk – BIS), kurā notiek visa būvniecības procesa elektroniska pārvaldība, vēl nav ieviestas nepieciešamās izmaiņas, lai tajā varētu norādīt būvniecības mērķi "mākslīgā mitrāja pārbūve, atjaunošana vai izbūve". BIS joprojām pieejams mērķis "meliorācijas sistēmas pārbūve, atjaunošana vai izbūve", kas pirmšķietami ir pretrunā ar pašreizējo noteikumu Nr. 213 10. punkta redakciju. Vienlaikus 28. punkts ir jāpapildina ar jaunu apakšpunktu, nosakot, ka izdevumi, kas saistīti ar meliorācijas sistēmas pārbūvi, atjaunošanu vai izbūvi, ir neattiecināmie izdevumi, tādējādi saglabājot intervences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redakcija būtu jāpapildina arī ar nosacījumiem par to, kuros gadījumos ir attiecināms arī atbalsta pretendenta paša darbs būvdarbos, ja tam ir atbilstoša meliorācijas būvdarbu kvalifikācija, lai nodrošinātu, ka būvdarbi hidromeliorācijas jomā tiek paveikti profesionāli, kvalitatīvi un atbilstoši normatīvajām prasībām. Skaidra prasība par kvalificēta būvdarbu vadītāja un būvuzrauga piesaisti novērš risku, ka darbi tiek paveikti bez profesionālas uzraudzības, kas var radīt tehniskas kļūdas, neatbilstības un ievērojamu ietekmi ne tikai uz mākslīgā mitrāja, bet arī uz meliorācijas sistēmu funkcionēšanu. Šāds precizējums nodrošina vienlīdzīgu pieeju visiem pretendentiem un samazina administratīvo un tehnisko risku projekta īstenošanas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23.4.3. apakšpunktā ir nepieciešams iekļaut piemērus par augiem, kas atbilstu intervences mērķim, t. i., kuri augi primāri audzējami mākslīgajā mitrājā ūdens kvalitātes uzlabošanai. Patlaban nav skaidri izprotams, vai ir atļauta tikai vienas sugas augu izvēle vai jāievēro dažādība. Nav skaidrs, vai ir atļauti dažādi krāšņumaugi, piemēram, ūdensrozes. Kā atzīst mākslīgo mitrāju eksperti, mākslīgajā mitrājā ūdens kvalitātes uzlabošanai nav obligāti jāstāda tikai niedres vai grīšļi, tomēr praksē visefektīvākie ir tieši tādi augi, kas ar saknēm turas substrātā (piemēram, niedres, grīšļi, meldri, vilkvālītes), jo to sakņu sistēma substrātā nodrošina labu vidi mikroorganismiem, kas ir atbildīgi par galveno ūdens attīrīšanas procesu. Ūdensaugus ar peldošām lapām, piemēram, ūdensrozes, var izmantot papildinājumam, jo tie palīdz uzņemt barības vielas (veģetācijas sezonā) un noēno ūdens virsmu, bet parasti tie vieni paši nenodrošina tik efektīvu attīrīšanu kā niedres. Iespējams arī kombinēt abu veidu augus.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klimatiskajos apstākļos speciālisti izvēlas parastās niedres </w:t>
      </w:r>
      <w:r w:rsidR="00000000" w:rsidRPr="00000000" w:rsidDel="00000000">
        <w:rPr>
          <w:i w:val="1"/>
          <w:rtl w:val="0"/>
        </w:rPr>
        <w:t xml:space="preserve">(Phragmites Australis),</w:t>
      </w:r>
      <w:r w:rsidR="00000000" w:rsidRPr="00000000" w:rsidDel="00000000">
        <w:rPr>
          <w:rtl w:val="0"/>
        </w:rPr>
        <w:t xml:space="preserve"> jo tās pilnvērtīgi aug, vairojas un izspiež citas augu sugas. Tādējādi nav nepieciešama speciāla apsaimniekošana. Virszemes plūsmas mākslīgajos mitrājos var izmantot vilkuvāles </w:t>
      </w:r>
      <w:r w:rsidR="00000000" w:rsidRPr="00000000" w:rsidDel="00000000">
        <w:rPr>
          <w:i w:val="1"/>
          <w:rtl w:val="0"/>
        </w:rPr>
        <w:t xml:space="preserve">(Typha Species)</w:t>
      </w:r>
      <w:r w:rsidR="00000000" w:rsidRPr="00000000" w:rsidDel="00000000">
        <w:rPr>
          <w:rtl w:val="0"/>
        </w:rPr>
        <w:t xml:space="preserve">, kalmes </w:t>
      </w:r>
      <w:r w:rsidR="00000000" w:rsidRPr="00000000" w:rsidDel="00000000">
        <w:rPr>
          <w:i w:val="1"/>
          <w:rtl w:val="0"/>
        </w:rPr>
        <w:t xml:space="preserve">(Acorus calamus) </w:t>
      </w:r>
      <w:r w:rsidR="00000000" w:rsidRPr="00000000" w:rsidDel="00000000">
        <w:rPr>
          <w:rtl w:val="0"/>
        </w:rPr>
        <w:t xml:space="preserve">un citus mitrummīlošus augus. Atkarībā no augu sugas veģetācijai ir atšķirīga dažādu piesārņojošo elementu uzņemšanas spēja, ko augi izmanto augšanai. Ja ir specifisks notekūdeņu saturs, var pielāgot augu sugu, kas fitoremidiācijas ceļā veicinās nevēlamā elementa papildu attīrīšanu. Veģetāciju mitrājā var pielāgot arī ainaviskajām prasībām un izvēlēties ziedošus, krāsainus, daudzveidīgus vai pat eksotiskus augus, taču tad jārēķinās ar kopšanas nosacījumiem ekspluatācijas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Augus būvniecības laikā var mērķtiecīgi stādīt, tādējādi iegūstot optimālo noklājumu un izvēlēto augu sugu. Otra pieeja ir ļaut veģetācijai patstāvīgi attīstīties mitrāja ekspluatācijas laikā – tad augi paši iesēsies un ieaugs, taču apaugums veidosies tikai seklākajās mitrāja zonās (pie krastiem un līdz 0,7 m ūdens dziļumam) un ilgāku laiku, un to veidos tuvumā dabā sastopamās augu sugas. Tātad no atbalsta kontroles viedokļa būtu svarīgi pēcuzraudzības laikā konstatēt vismaz reti stādītus vai ieaugušus ūdensaugus (niedres vai citus), kas garantēs augu izplatību vienas sezonas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29. punkts ir jāpapildina ar nosacījumu, ka avansu var saņemt bez kredītiestādes garantijas;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39. punkts ir jāpapildina ar skaidrojumu, ka uz mākslīgo mitrāju attiecas visas tās pašas darbības, kas uz jebkuru meliorācijas sistēmu, tātad ir jānodrošina tā funkcionēšanu atbilstoši paredzētajam mērķim, nepieļaujot meliorācijas sistēmas darbības pasliktināšanos.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atrisinātu konstatētās problēmas, ar noteikumu projekta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1. punktu tiek svītrots noteikumu Nr. 213 10.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 punktu noteikumi Nr. 213 tiek papildināti ar 16.</w:t>
      </w:r>
      <w:r w:rsidR="00000000" w:rsidRPr="00000000" w:rsidDel="00000000">
        <w:rPr>
          <w:vertAlign w:val="superscript"/>
          <w:rtl w:val="0"/>
        </w:rPr>
        <w:t xml:space="preserve">1</w:t>
      </w:r>
      <w:r w:rsidR="00000000" w:rsidRPr="00000000" w:rsidDel="00000000">
        <w:rPr>
          <w:rtl w:val="0"/>
        </w:rPr>
        <w:t xml:space="preserve"> punktu, nosakot, ka intervences īstenošanā būvdarbus var veikt būvuzņēmējs ar sertificētiem hidromelioratīvās būvniecības speciālistiem vai arī pats atbalsta pretendents, ja tam ir atbilstoša kvalifikācija un tiek piesaistīti sertificēti speciālisti meliorācijas sistēmu būvdarbu vadīšanai un būvuzraudzībai. Par būvdarbu vadītāja un būvuzrauga piesaisti paša īstenotiem būvdarbiem atbalsta pretendents informē Lauku atbalsta dienestu, iesniedzot projekta iesniegumu;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3. punktu tiek grozīts noteikumu Nr. 213 23.4.3. apakšpunkts, to izsakot jaunā redakcijā, lai esošo redakciju papildinātu ar prasību, ka veģetāciju veido dabiski vai reti stādīti ūdensaugi, vienlaikus nodrošinot, ka tie ir no dažādām tādu augu sugām kā, piemēram niedres, vilkuvāles, meldri, kalmes vai citi mitrummīloši augi, vai tādi augi, kas fitoremidiācijas ceļā veicina nevēlamā elementa papildu attīrīšanu;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4. punktu noteikumi Nr. 213 tiek papildināti ar 28.11. apakšpunktu, kas noteic, ka nav attiecināmi izdevumi, kas saistīti ar meliorācijas sistēmas pārbūvi, atjaunošanu vai izbūvi;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5. punktu tiek grozīts noteikumu Nr. 213 29. punkts, to papildinot ar atbalsta pretendentam labvēlīgāku normu, proti, ka avansu var saņemt bez kredītiestādes garantijas;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6. punktu tiek grozīts noteikumu Nr. 213 39. punkts, to papildinot ar piebildi šādā redakcijā: "nodrošinot tā funkcionēšanu atbilstoši paredzētajam mērķim un nepieļaujot meliorācijas sistēmas darbības pasliktināšanos", kas paskaidro, kuras darbības jāīsteno attiecībā uz mākslīgo mitrāju uzturēšanu un ilgtspēju.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pretendents, kas ir sertificēts hidromelioratīvās būvniecības speciālists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Tiesiskais regulējums ietekmē tikai tādu atbalsta pretendentu, kas ir sertificēts hidromelioratīvās būvniecības speciālists, un vēlas pats veikt rakšanas darbus, tos ieskaitot attiecināmos izdevumos kā "paša darbs".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to nodrošinātu, ka šādiem atbalsta pretendentiem "paša darbs" tiek iekļauts attiecināmos izdevumus un nav nepieciešamas slēgt līgumu ar trešajām pusēm par pakalpojumu, noteikumi Nr. 213 ir papildināti ar 16.</w:t>
      </w:r>
      <w:r w:rsidR="00000000" w:rsidRPr="00000000" w:rsidDel="00000000">
        <w:rPr>
          <w:vertAlign w:val="superscript"/>
          <w:rtl w:val="0"/>
        </w:rPr>
        <w:t xml:space="preserve">1</w:t>
      </w:r>
      <w:r w:rsidR="00000000" w:rsidRPr="00000000" w:rsidDel="00000000">
        <w:rPr>
          <w:rtl w:val="0"/>
        </w:rPr>
        <w:t xml:space="preserve"> punktu nosakot, ka šādos gadījumos šādam atbalsta pretendentam par savu izvēli ir laicīgi jāinformē Lauku atbalsta dienests t.i. iesniedzot projekta iesniegumu Lauku atbalsta dienesta Elektroniskajā pieteikšanās sistēmā izdara atzīmi, ieliekot atbilstošu ķeksi, kas aizņem 2 sekundes. Tādējādi administratīvais slogs ir minimāls, un tas ir samērīgs ar nepieciešamību nodrošināt būvdarbu kvalitāti un drošību.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šī informācijas sniegšana nemaina projektu iesniegšanas līdzšinējo kārtību un darbības, kas noteiktas ir iekļautas attiecināmās izmaksās, atbilstoši šo noteikumu 27.1.1. apakšpunktā minētajam, līdz ar to administratīvais slogs ir kompensēts.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Būvuzņēmējs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 213 ir papildināti ar 16.</w:t>
      </w:r>
      <w:r w:rsidR="00000000" w:rsidRPr="00000000" w:rsidDel="00000000">
        <w:rPr>
          <w:vertAlign w:val="superscript"/>
          <w:rtl w:val="0"/>
        </w:rPr>
        <w:t xml:space="preserve">1</w:t>
      </w:r>
      <w:r w:rsidR="00000000" w:rsidRPr="00000000" w:rsidDel="00000000">
        <w:rPr>
          <w:rtl w:val="0"/>
        </w:rPr>
        <w:t xml:space="preserve"> punktu nosakot, ka īstenojot šo intervenci, būvdarbus veic būvuzņēmējs, piesaistot sertificētu hidromelioratīvās būvniecības speciālistu, bet darbības, kas noteiktas šajā ir 16.</w:t>
      </w:r>
      <w:r w:rsidR="00000000" w:rsidRPr="00000000" w:rsidDel="00000000">
        <w:rPr>
          <w:vertAlign w:val="superscript"/>
          <w:rtl w:val="0"/>
        </w:rPr>
        <w:t xml:space="preserve">1</w:t>
      </w:r>
      <w:r w:rsidR="00000000" w:rsidRPr="00000000" w:rsidDel="00000000">
        <w:rPr>
          <w:rtl w:val="0"/>
        </w:rPr>
        <w:t xml:space="preserve"> punktā jau ir iekļautas attiecināmās izmaksās, atbilstoši šo noteikumu 27.1.1. apakšpunktā minētajam, līdz ar to slogs ir kompensēts.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publicēts publiskajai apspriešanai no 21.04.2026. līdz 27.04.2026. Saite pieejama šeit: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https://tapportals.mk.gov.lv/public_participation/121788da-691b-4efc-8172-54a3fa06dfae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 un priekšlikumi netika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maksājumi tiek piešķirti par paaugstinātu prasību izpildi, kopumā sniedzot tiešu ieguldījumu negatīvās ietekmes uz vidi mazināšanā, t. i., ūdens piesārņojuma mazināšanā un bioloģiskās daudzveidības saglabāšanā. Sniegtais atbalsts veicinās mākslīgo mitrāju ierīkošanu, tā samazinot lauksaimnieciskās darbības radīto biogēno elementu noplūdi no lauksaimniecībā izmantotajām platībām.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26-TA-901</w:t>
    </w:r>
    <w:r>
      <w:br/>
    </w:r>
    <w:r w:rsidR="00000000" w:rsidRPr="00000000" w:rsidDel="00000000">
      <w:rPr>
        <w:rtl w:val="0"/>
      </w:rPr>
      <w:t xml:space="preserve">Izdrukāts 29.07.2026. 22.13 - 4.0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26-TA-901</w:t>
    </w:r>
    <w:r>
      <w:br/>
    </w:r>
    <w:r w:rsidR="00000000" w:rsidRPr="00000000" w:rsidDel="00000000">
      <w:rPr>
        <w:rtl w:val="0"/>
      </w:rPr>
      <w:t xml:space="preserve">Izdrukāts 29.07.2026. 22.13 - 4.0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anotācija_(ex_ante)_26-TA-901.docx</dc:title>
</cp:coreProperties>
</file>

<file path=docProps/custom.xml><?xml version="1.0" encoding="utf-8"?>
<Properties xmlns="http://schemas.openxmlformats.org/officeDocument/2006/custom-properties" xmlns:vt="http://schemas.openxmlformats.org/officeDocument/2006/docPropsVTypes"/>
</file>