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valstij dividendēs izmaksājamo valsts sabiedrības ar ierobežotu atbildību "Latvijas Nacionālais teātris" peļņas daļu"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pēc valsts kapitāla daļu turētāja pamatota priekšlikuma ar Ministru kabineta rīkojumu var atļaut noteikt valsts kapitālsabiedrības stratēģijā atšķirīgu prognozējamo dividendēs izmaksājamo un saņemamo peļņas daļu (procentos no prognozētās pārskata gada peļņas), nekā tas norādīts Ministru kabineta 2022.gada 25.janvāra noteikumu Nr.72 „Kārtība, kādā tiek prognozēti, noteikti un veikti maksājumi par valsts kapitāla izmantošanu” (turpmāk – Noteikumi Nr.72) 3.punktā vai citos tiesību aktos.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valsts sabiedrības ar ierobežotu atbildību „Latvijas Nacionālais teātris” (turpmāk – kapitālsabiedrība) ikgadējās prognozējamās dividendēs izmaksājamās peļņas daļas novirzīšana kapitālsabiedrības plānotajām investīcijām – materiāli tehniskās bāzes uzlabošanai – atbilstoši kapitālsabiedrības vidēja termiņa darbības stratēģijai 2022.-2024.gadam, lai nodrošinātu ilgtermiņa attīstību un augstvērtīgu māksliniecisko 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 ir valsts kapitālsabiedrība, kurā 100 % kapitāla daļu turētāja ir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vidēja termiņa stratēģijas projektā „Valsts sabiedrības ar ierobežotu atbildību „Latvijas Nacionālais teātris” vidēja termiņa darbības stratēģija 2022.-2024.gadam” (turpmāk – Stratēģija) 2021.-2023.gadam noteiktie finanšu mērķi ir rentabilitāte, biļešu ieņēmumi, pārējie pašu ieņēmumi, peļņa (2021.gadā – 4 244 </w:t>
      </w:r>
      <w:r w:rsidR="00000000" w:rsidRPr="00000000" w:rsidDel="00000000">
        <w:rPr>
          <w:i w:val="1"/>
          <w:rtl w:val="0"/>
        </w:rPr>
        <w:t xml:space="preserve">euro</w:t>
      </w:r>
      <w:r w:rsidR="00000000" w:rsidRPr="00000000" w:rsidDel="00000000">
        <w:rPr>
          <w:rtl w:val="0"/>
        </w:rPr>
        <w:t xml:space="preserve">, 2022.gadā – 6 376 </w:t>
      </w:r>
      <w:r w:rsidR="00000000" w:rsidRPr="00000000" w:rsidDel="00000000">
        <w:rPr>
          <w:i w:val="1"/>
          <w:rtl w:val="0"/>
        </w:rPr>
        <w:t xml:space="preserve">euro</w:t>
      </w:r>
      <w:r w:rsidR="00000000" w:rsidRPr="00000000" w:rsidDel="00000000">
        <w:rPr>
          <w:rtl w:val="0"/>
        </w:rPr>
        <w:t xml:space="preserve">, 2023.gadā – 24 686 </w:t>
      </w:r>
      <w:r w:rsidR="00000000" w:rsidRPr="00000000" w:rsidDel="00000000">
        <w:rPr>
          <w:i w:val="1"/>
          <w:rtl w:val="0"/>
        </w:rPr>
        <w:t xml:space="preserve">euro</w:t>
      </w:r>
      <w:r w:rsidR="00000000" w:rsidRPr="00000000" w:rsidDel="00000000">
        <w:rPr>
          <w:rtl w:val="0"/>
        </w:rPr>
        <w:t xml:space="preserve">, 2024.gadā – 27 258 </w:t>
      </w:r>
      <w:r w:rsidR="00000000" w:rsidRPr="00000000" w:rsidDel="00000000">
        <w:rPr>
          <w:i w:val="1"/>
          <w:rtl w:val="0"/>
        </w:rPr>
        <w:t xml:space="preserve">euro</w:t>
      </w:r>
      <w:r w:rsidR="00000000" w:rsidRPr="00000000" w:rsidDel="00000000">
        <w:rPr>
          <w:rtl w:val="0"/>
        </w:rPr>
        <w:t xml:space="preserve">) un plānoto pašu ieņēmu īpatsvars pret kopējo apgrozījumu (2021.gadā – 24 %, 2022.gadā – 42 %, 2023.gadā – 46 %, 2024.gadā – 46 %). Tā kā kapitālsabiedrības darbības primārais mērķis nav peļņas gūšana, bet gan deleģēto valsts pārvaldes uzdevumu veikšana atbilstoši Kultūras institūciju likuma 23.panta otrajai daļai, kapitālsabiedrības ikgadējo prognozējamo dividendēs izmaksājamo peļņas daļu nepieciešams novirzīt kapitālsabiedrības plānotajām investīcijām – materiāli tehniskās bāzes uzlabošanai – atbilstoši Stratēģijai, lai nodrošinātu ilgtermiņa attīstību un augstvērtīgu māksliniecisko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Nr.72 3.1.apakšpunktu minimālā dividendēs izmaksājamā peļņas daļa valsts kapitālsabiedrībām, publiski privātajām kapitālsabiedrībām un publiskas personas kontrolētām kapitālsabiedrībām, kurās valsts ir dalībnieks (akcionārs), ir 64 % no kapitālsabiedrības pārskata gada peļņas, ja atbilstoši Noteikumu Nr.72 II nodaļai kapitālsabiedrības vidēja termiņa darbības stratēģijā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28.panta pirmajā daļā noteikts, ka prognozējamo peļņas daļu, kas izmaksājama dividendēs, un dividendēs izmaksājamo peļņas daļu nosaka, pamatojoties uz kapitālsabiedrības vidēja termiņa darbības stratēģiju, tajā noteiktajiem kapitālsabiedrības mērķiem un to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Nr.72 6.punkts nosaka, ka Ministru kabinets pēc valsts kapitāla daļu turētāja pamatota priekšlikuma ar Ministru kabineta rīkojumu var atļaut noteikt stratēģijā atšķirīgu prognozējamo dividendēs izmaksājamo un saņemamo peļņas daļu (procentos no prognozētās pārskata gada peļņas), nekā tas norādīts Noteikumu Nr.72 3.punktā vai citos tiesību aktos. Noteikumu Nr.72 7.punkts nosaka, ka valsts kapitāla daļu turētājs iesniedz Ministru kabinetā Noteikumu Nr.72 6.punktā minēto Ministru kabineta rīkojuma projektu un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kapitālsabiedrību, pamatojoties uz Kultūras institūciju likuma 23.panta otro daļu, 2021.gada 4.janvārī noslēgts līdzdarbības līgums Nr.2.5-8-9 „Par atsevišķu valsts pārvaldes uzdevumu deleģēšanu kultūras jomā”, saskaņā ar kuru kapitālsabiedrība veic valsts deleģētus pārvaldes uzdevumus kultūras jomā, kuru ietvaros kapitālsabiedrības tiešie uzdevumi paredz iestudēt daudzveidīgas un kvalitatīvas teātra izrādes, ar savu repertuārpolitiku veicinot latviešu oriģināldramaturģijas attīstību un jaunu nacionālo vērtību radīšanu, nodrošināt teātra mākslas pieejamību Latvijas sabiedrībai, ar teātra izrāžu starpniecību nodrošināt kultūrizglītības iespējas bērnu un jauniešu auditorijai, apgūt starptautisko pieredzi teātra mākslas jomā, veicinot izcilību, nodrošināt kapitālsabiedrības finanšu un tehniskās un tehnoloģiskās darbības efektivitāti un ilgtspēju.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Eiropas Savienības dalībvalstu tiesībām veikt intervences kultūras pakalpojumu tirgū dažādu atbalsta pasākumu veidā (granti, dotācijas, projektu finansējums, nodokļu atvieglojumi), kultūras pakalpojumi ir izņēmums, kas paredzēts gan Līgumā par Eiropas Savienības darbību, gan tiek plaši piemērots Eiropas Savienības dalībvalstu praksē. Līguma par Eiropas Savienības darbību 167.pants paredz, ka „Savienība veicina dalībvalstu kultūru uzplaukumu, respektējot to nacionālās un reģionālās atšķirības un vienlaikus pievēršot uzmanību kopīgajam kultūras mantojumam. (..) Rīkojoties saskaņā ar citiem Līguma noteikumiem, Savienība ņem vērā kultūras aspektus, jo īpaši, lai respektētu un veicinātu kultūru daudzveidību”. Savukārt Līguma par Eiropas Savienības darbību 107.panta 3.punkta d) apakšpunkts nosaka, ka „atbalstu, kas veicina kultūru un kultūras mantojuma saglabāšanu, ja tāds atbalsts neiespaido tirdzniecības nosacījumus un konkurenci Savienībā tiktāl, ka tas ir pretrunā kopīgām interesēm, var uzskatīt par saderīgu ar iekšējo tirgu”. Papildus 2016.gada 19.jūlijā tika pieņemts Eiropas Komisijas paziņojums par Līguma par Eiropas Savienības darbību 107.panta 1.punktā minēto valsts atbalsta jēdzienu (2016/c 262/01) (turpmāk – Paziņojums par valsts atbalsta jēdzienu), tostarp skaidrojot valsts atbalsta nosacījumu piemērošanu atsevišķu nozaru ietvaros, piemēram, kultūrai un kultūrvēsturiskā mantojuma saglabāšanai, dabas aizsardzībai. Saskaņā ar Paziņojuma par valsts atbalsta jēdzienu 33. un 34.punktā noteikto kultūras un kultūrvēsturiskā mantojuma saglabāšanas jomā ietilpst ļoti plašs mērķu un darbību loks, tostarp muzeji, arhīvi, bibliotēkas, mākslas un kultūras centri vai telpas, teātri, operas nami, koncertzāles, arheoloģiskie objekti, pieminekļi, vēsturiskie objekti un celtnes, tradicionālās paražas un amatniecība, festivāli un izstādes, kā arī kultūras un mākslas izglītības pasākumi. Eiropas Komisija ir norādījusi, ka atsevišķas ar kultūru, kultūrvēsturiskā mantojuma saglabāšanu un dabas aizsardzību saistības darbības var būt organizētas nekomerciāli un tādējādi tās ir tādas, kurām nav saimnieciska rakstura, līdz ar to publiskais finansējums, kas tām piešķirts, var nebūt valsts atbalsts.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tad, ja no kultūras iestādes apmeklētājiem vai sabiedrībai pieejama kultūras vai kultūrvēsturiskā mantojuma saglabāšanas pasākuma dalībniekiem tiek prasīta samaksa, kas sedz tikai daļu no faktiskajām izmaksām, šim pasākumam tik un tā nav saimnieciska rakstura, jo šādu samaksu nevar uzskatīt par reālu atlīdzību par sniegto pakalpojumu. Eiropas Komisijas skaidrojumā – „daļa no faktiskajām izmaksām” ir ne vairāk kā 50 % no kopējiem kultūras iestādes izdevumiem (biļešu ieņēmumi, maksas pakalpojumu u.c. pašu ieņēmumi).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2021.gada darbības rādītājiem kapitālsabiedrības pašu ieņēmumi no saimnieciskās darbības, tai skaitā no biļešu tirdzniecības, 2021.gadā bija 1 179 767 </w:t>
      </w:r>
      <w:r w:rsidR="00000000" w:rsidRPr="00000000" w:rsidDel="00000000">
        <w:rPr>
          <w:i w:val="1"/>
          <w:rtl w:val="0"/>
        </w:rPr>
        <w:t xml:space="preserve">euro</w:t>
      </w:r>
      <w:r w:rsidR="00000000" w:rsidRPr="00000000" w:rsidDel="00000000">
        <w:rPr>
          <w:rtl w:val="0"/>
        </w:rPr>
        <w:t xml:space="preserve">, kas veidoja 28,6 % no kopējiem kapitālsabiedrības izdevumiem kultūras pakalpojumu pieejamības nodrošināšanā. Savukārt dotācija no valsts pamatbudžeta bija 2 945 651 </w:t>
      </w:r>
      <w:r w:rsidR="00000000" w:rsidRPr="00000000" w:rsidDel="00000000">
        <w:rPr>
          <w:i w:val="1"/>
          <w:rtl w:val="0"/>
        </w:rPr>
        <w:t xml:space="preserve">euro</w:t>
      </w:r>
      <w:r w:rsidR="00000000" w:rsidRPr="00000000" w:rsidDel="00000000">
        <w:rPr>
          <w:rtl w:val="0"/>
        </w:rPr>
        <w:t xml:space="preserve"> jeb 71,4 % no kopējiem kapitālsabiedrības izdevumiem kultūras pakalpojumu pieejamības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Teātra repertuārā ir tikai dramatiskās izrādes latviešu valodā bez tulkojuma citās valodās, līdz ar to teātra izrādes ir paredzētas vietējai mērķauditorijai. Valodas barjeras dēļ izrādes nepiesaista skatītājus no citām Eiropas Savienības dalībvalstīm, līdz ar to piešķirtais valsts finansējums kapitālsabiedrībai nevar ietekmēt tirdzniecību starp dalībvalstīm un konkurenci, un šim atbalsta pasākumam (t.i., dotācijai no valsts pamatbudžeta) ir vienīgi vietēja mēroga ietekme. Ņemot vērā iepriekš minēto, ka ieņēmumi no saimnieciskās darbības 2021.gadā nepārsniedza 50% no izdevumiem, kā arī nepastāv potenciāla ietekme uz tirdzniecību un konkurenci starp citām Eiropas Savienības dalībvalstīm, komercdarbības atbalstu regulējošās tiesību normas nav jāpiemēro.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Nr.72 7.3.1.1.apakšpunktu, ņemot vērā kapitālsabiedrības nepieciešamību veikt esošo skaņas un gaismas sistēmu nomaiņu, kas ir morāli un tehniski novecojusi, līdzekļi ko kapitālsabiedrība spēj piesaistīt pašu spēkiem, vidējā termiņa darbības ietvaros ir jāsaglabā kapitālsabiedrības rīcībā  kapitālsabiedrības plānotajām investīcijām – materiāli tehniskās bāzes uzlabošanai – atbilstoši Stratēģijai, lai nodrošinātu ilgtermiņa attīstību un augstvērtīgu māksliniecisko darbību, kultūras vērtību radīšanu, izplatīšanu, Latvijas kultūridentitātes saglabāšanu un popularizēšanu teātra mākslas jomā, kas tika noteikts Ministru kabineta 2015.gada 22.decembra sēdē (protokols Nr.68 80.§), pieņemot lēmumu par valsts līdzdalības saglabāšanu kapitālsabiedrībā. Stratēģijā minētajā laika periodā kapitālsabiedrībai ir nepieciešami ieguldījumi skaņas tehnikas iegādes izdevumu segšanai 5 000 </w:t>
      </w:r>
      <w:r w:rsidR="00000000" w:rsidRPr="00000000" w:rsidDel="00000000">
        <w:rPr>
          <w:i w:val="1"/>
          <w:rtl w:val="0"/>
        </w:rPr>
        <w:t xml:space="preserve">euro</w:t>
      </w:r>
      <w:r w:rsidR="00000000" w:rsidRPr="00000000" w:rsidDel="00000000">
        <w:rPr>
          <w:rtl w:val="0"/>
        </w:rPr>
        <w:t xml:space="preserve"> apmērā, no kuriem 2 716 </w:t>
      </w:r>
      <w:r w:rsidR="00000000" w:rsidRPr="00000000" w:rsidDel="00000000">
        <w:rPr>
          <w:i w:val="1"/>
          <w:rtl w:val="0"/>
        </w:rPr>
        <w:t xml:space="preserve">euro</w:t>
      </w:r>
      <w:r w:rsidR="00000000" w:rsidRPr="00000000" w:rsidDel="00000000">
        <w:rPr>
          <w:rtl w:val="0"/>
        </w:rPr>
        <w:t xml:space="preserve"> apmērā plānots segt no dividendēm, bet pārējo summu no pašu ieņēmumiem, un gaismas tehnikas iegādes izdevumu segšanai 32 000</w:t>
      </w:r>
      <w:r w:rsidR="00000000" w:rsidRPr="00000000" w:rsidDel="00000000">
        <w:rPr>
          <w:i w:val="1"/>
          <w:rtl w:val="0"/>
        </w:rPr>
        <w:t xml:space="preserve"> euro</w:t>
      </w:r>
      <w:r w:rsidR="00000000" w:rsidRPr="00000000" w:rsidDel="00000000">
        <w:rPr>
          <w:rtl w:val="0"/>
        </w:rPr>
        <w:t xml:space="preserve"> apmērā, no kuriem 19 880 </w:t>
      </w:r>
      <w:r w:rsidR="00000000" w:rsidRPr="00000000" w:rsidDel="00000000">
        <w:rPr>
          <w:i w:val="1"/>
          <w:rtl w:val="0"/>
        </w:rPr>
        <w:t xml:space="preserve">euro</w:t>
      </w:r>
      <w:r w:rsidR="00000000" w:rsidRPr="00000000" w:rsidDel="00000000">
        <w:rPr>
          <w:rtl w:val="0"/>
        </w:rPr>
        <w:t xml:space="preserve">  plānots segt no kapitālsabiedrības rīcībā atstātās peļņas daļas, bet pārējo summu no pašu ieņēmumiem.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kapitālsabiedrība spētu īstenot tās Stratēģijā noteiktos mērķus, ir nepieciešams veikt regulārus ieguldījumus kapitālsabiedrības materiāli tehniskās bāzes uzlabošanai atbilstoši Stratēģijai, lai nodrošinātu ilgtermiņa attīstību un augstvērtīgu māksliniecisko darbību, līdz ar to Kultūras ministrija ierosina Ministru kabinetam pieņemt lēmumu, ar kuru atļaut noteikt kapitālsabiedrības Stratēģijā atšķirīgu prognozējamo dividendēs izmaksājamo peļņas daļu 0 % apmērā no prognozētās pārskata gada peļņas.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142 881 000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-4 081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84 975 000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-15 799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142 881 000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-4 081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84 975 000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-15 799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142 881 000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-4 081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84 975 000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-15 799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142 881 000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-4 081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84 975 000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-15 799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-4 081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-15 799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-4 081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-15 799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valsts budžetu 2022.gadam” un likumā „Par vidēja termiņa ietvaru 2022., 2023. un 2024.gadam” ir ieplānoti ieņēmumi no dividendēm (ieņēmumi no valsts (pašvaldību) kapitāla izmantošanas) 2022.gadā 199 278 584 </w:t>
      </w:r>
      <w:r w:rsidR="00000000" w:rsidRPr="00000000" w:rsidDel="00000000">
        <w:rPr>
          <w:i w:val="1"/>
          <w:rtl w:val="0"/>
        </w:rPr>
        <w:t xml:space="preserve">euro</w:t>
      </w:r>
      <w:r w:rsidR="00000000" w:rsidRPr="00000000" w:rsidDel="00000000">
        <w:rPr>
          <w:rtl w:val="0"/>
        </w:rPr>
        <w:t xml:space="preserve">, 2023.gadā 142 881 000 </w:t>
      </w:r>
      <w:r w:rsidR="00000000" w:rsidRPr="00000000" w:rsidDel="00000000">
        <w:rPr>
          <w:i w:val="1"/>
          <w:rtl w:val="0"/>
        </w:rPr>
        <w:t xml:space="preserve">euro</w:t>
      </w:r>
      <w:r w:rsidR="00000000" w:rsidRPr="00000000" w:rsidDel="00000000">
        <w:rPr>
          <w:rtl w:val="0"/>
        </w:rPr>
        <w:t xml:space="preserve"> un 2024.gadā 84 975 000 </w:t>
      </w:r>
      <w:r w:rsidR="00000000" w:rsidRPr="00000000" w:rsidDel="00000000">
        <w:rPr>
          <w:i w:val="1"/>
          <w:rtl w:val="0"/>
        </w:rPr>
        <w:t xml:space="preserve">euro</w:t>
      </w:r>
      <w:r w:rsidR="00000000" w:rsidRPr="00000000" w:rsidDel="00000000">
        <w:rPr>
          <w:rtl w:val="0"/>
        </w:rPr>
        <w:t xml:space="preserve"> apmērā. Projekta īstenošanas gadījumā 2022.gadā valsts budžets negūs ieņēmumus 2 716 </w:t>
      </w:r>
      <w:r w:rsidR="00000000" w:rsidRPr="00000000" w:rsidDel="00000000">
        <w:rPr>
          <w:i w:val="1"/>
          <w:rtl w:val="0"/>
        </w:rPr>
        <w:t xml:space="preserve">euro</w:t>
      </w:r>
      <w:r w:rsidR="00000000" w:rsidRPr="00000000" w:rsidDel="00000000">
        <w:rPr>
          <w:rtl w:val="0"/>
        </w:rPr>
        <w:t xml:space="preserve"> apmērā, 2023.gadā 4 081 </w:t>
      </w:r>
      <w:r w:rsidR="00000000" w:rsidRPr="00000000" w:rsidDel="00000000">
        <w:rPr>
          <w:i w:val="1"/>
          <w:rtl w:val="0"/>
        </w:rPr>
        <w:t xml:space="preserve">euro</w:t>
      </w:r>
      <w:r w:rsidR="00000000" w:rsidRPr="00000000" w:rsidDel="00000000">
        <w:rPr>
          <w:rtl w:val="0"/>
        </w:rPr>
        <w:t xml:space="preserve"> apmērā un 2024.gadā 15 799 </w:t>
      </w:r>
      <w:r w:rsidR="00000000" w:rsidRPr="00000000" w:rsidDel="00000000">
        <w:rPr>
          <w:i w:val="1"/>
          <w:rtl w:val="0"/>
        </w:rPr>
        <w:t xml:space="preserve">euro</w:t>
      </w:r>
      <w:r w:rsidR="00000000" w:rsidRPr="00000000" w:rsidDel="00000000">
        <w:rPr>
          <w:rtl w:val="0"/>
        </w:rPr>
        <w:t xml:space="preserve"> apmērā. Ņemot vērā to, ka, veicot dividenžu maksājumus, uzņēmumu ienākuma nodoklis tiek aprēķināts un nomaksāts uzņēmumu ienākuma nodokli regulējošos normatīvajos aktos noteiktajā kārtībā, lēmums par peļņas atstāšanu kapitālsabiedrības rīcībā samazinās arī uzņēmuma ienākuma nodokļa maksājumus.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attiecas uz kapitālsabiedrības peļņas izlietošanas kārtību, kas tiešā veidā neskar sabiedrības intereses.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„Latvijas Nacionālais teātris”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Stratēģiju, pieņemot lēmumu par atšķirīgu dividendēs izmaksājamo summu (nosakot 0 % likmi), valsts budžetā trīs gados kopā netiktu pārskaitīta summa 22 596 </w:t>
      </w:r>
      <w:r w:rsidR="00000000" w:rsidRPr="00000000" w:rsidDel="00000000">
        <w:rPr>
          <w:i w:val="1"/>
          <w:rtl w:val="0"/>
        </w:rPr>
        <w:t xml:space="preserve">euro</w:t>
      </w:r>
      <w:r w:rsidR="00000000" w:rsidRPr="00000000" w:rsidDel="00000000">
        <w:rPr>
          <w:rtl w:val="0"/>
        </w:rPr>
        <w:t xml:space="preserve"> apmērā. Minētā summa paliktu kapitālsabiedrības rīcībā un tiktu novirzīta kapitālsabiedrības plānotajām investīcijām – materiāli tehniskās bāzes uzlabošanai – atbilstoši Stratēģijai, lai nodrošinātu ilgtermiņa attīstību un augstvērtīgu māksliniecisko darbību.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22-TA-1628</w:t>
    </w:r>
    <w:r>
      <w:br/>
    </w:r>
    <w:r w:rsidR="00000000" w:rsidRPr="00000000" w:rsidDel="00000000">
      <w:rPr>
        <w:rtl w:val="0"/>
      </w:rPr>
      <w:t xml:space="preserve">Izdrukāts 29.07.2026. 23.09 - 3.0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22-TA-1628</w:t>
    </w:r>
    <w:r>
      <w:br/>
    </w:r>
    <w:r w:rsidR="00000000" w:rsidRPr="00000000" w:rsidDel="00000000">
      <w:rPr>
        <w:rtl w:val="0"/>
      </w:rPr>
      <w:t xml:space="preserve">Izdrukāts 29.07.2026. 23.09 - 3.0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anotācija_(ex_ante)_22-TA-1628.docx</dc:title>
</cp:coreProperties>
</file>

<file path=docProps/custom.xml><?xml version="1.0" encoding="utf-8"?>
<Properties xmlns="http://schemas.openxmlformats.org/officeDocument/2006/custom-properties" xmlns:vt="http://schemas.openxmlformats.org/officeDocument/2006/docPropsVTypes"/>
</file>