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26. jūnija noteikumos Nr. 355 "Ārpusģimenes aprūpes atbalsta centra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budžeta izstrādes procesā saskaņā ar Ministru kabineta 2025. gada 22. septembra sēdes protokola Nr. 38 1.§ "Informatīvais ziņojums "Par valsts budžeta likumprojektā  iekļaujamiem prioritārajiem pasākumiem 2026., 2027. un 2028. gadam"" 2. punktu ir atbalstīts Labklājības ministrijas (turpmāk – ministrija) prioritārais pasākums “Nodrošināti un pilnveidoti ārpusģimenes aprūpes atbalsta pasākumi” 2026. gadā un turpmāk ik gadu, kas ietver arī civiltiesiskās atbildības un veselības apdrošināšanas nodrošināšanu specializētajai audžuģimenei.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noteiktu ārpusģimenes aprūpes atbalsta centru (turpmāk – atbalsta centrs) statusa atcelšanas nosacījumus un kārtību, kādā atceļ atbalsta centra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papildinātu noteikumus ar jauniem atbalsta centra pienākumiem, kas saistīti ar veselības apdrošināšanas nodrošināšanu un civiltiesiskās atbildības apdrošināšanas kompensācijas izmaksu specializētajām audžuģimenēm.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noteikumu projekts stājas spēkā 2026. gada 1. jūlijā.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bērnu tiesību aizsardzības sistēma ir vērsta uz bērna tiesību nodrošināšanu augt ģimeniskā vidē. Bērnu tiesību aizsardzības likuma (turpmāk - likums) 6. pants nostiprina principu, ka bērnam ir tiesības uz ģimeni, savukārt gadījumos, kad bērna aprūpe bioloģiskajā ģimenē nav iespējama, saskaņā likuma 27. pantu  bērnam tiek nodrošināta ārpusģimenes aprūpe, primāri pie aizbildņa vai audžuģimenē, bet bērnu aprūpes iestādē tikai gadījumos, kad aprūpe pie aizbildņa vai audžuģimenē nav piemērota konkrētam bērnam. Bērnu aprūpes iestādē bērns atrodas līdz brīdim, kad viņam tiek nodrošināta piemērota aprūpe pie aizbildņa vai audžuģimenē.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Nacionālajam attīstības plānam 2021.–2027. gadam[1] un Bērnu, jaunatnes un ģimenes attīstības pamatnostādnēm 2022.–2027. gadam[2] valsts politika ir vērsta uz ģimeniskai videi pietuvinātu ārpusģimenes aprūpes formu attīstību un bērnu skaita samazināšanu ilgstošās sociālās aprūpes un sociālās rehabilitācijas  institūcijās, tomēr praksē joprojām pastāv izaicinājumi, lai nodrošinātu nepieciešamo audžuģimeņu, jo īpaši specializēto audžuģimeņu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gadā tika izveidoti atbalsta centri, kuri darbojas saskaņā ar likuma 36.</w:t>
      </w:r>
      <w:r w:rsidR="00000000" w:rsidRPr="00000000" w:rsidDel="00000000">
        <w:rPr>
          <w:vertAlign w:val="superscript"/>
          <w:rtl w:val="0"/>
        </w:rPr>
        <w:t xml:space="preserve">1</w:t>
      </w:r>
      <w:r w:rsidR="00000000" w:rsidRPr="00000000" w:rsidDel="00000000">
        <w:rPr>
          <w:rtl w:val="0"/>
        </w:rPr>
        <w:t xml:space="preserve"> pantu un Ministru kabineta 2018. gada 26.jūnija noteikumiem ”Ārpusģimenes aprūpes atbalsta centra noteikumi” (turpmāk – Noteikumi), un to mērķis ir  ne tikai stiprināt uzņemošo ģimeņu (audžuģimeņu, aizbildņu, viesģimeņu) kapacitāti un nodrošināt psihosociālu atbalstu tām, bet arī piesaistīt jaunas uzņemošās ģimenes.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pārskatu par bāriņtiesas darbu 2025. gadā[3]  ārpusģimenes aprūpē atradās 5160 bērns, tostarp palielinājās bērnu skaits bērnu aprūpes iestādēs (2023. gadā – 518; 2024. gadā – 568; 2025. gadā 606), vienlaikus samazinoties audžuģimeņu skaitam (2023. gadā – 709; 2024. gadā – 686; 2025. gadā – 654), savukārt specializēto audžuģimeņu skaits palielinājās no 128 2023. gadā līdz 142 2025. gadā. Minētās tendences norāda, ka ir nepieciešams stiprināt atbalstu audžuģimenēm, ieviešot papildus atbalsta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likumam no 2018. gada Latvijā ir noteikti divi specializēto audžuģimeņu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krīzes audžuģimenes, kas uzņem bērnu jebkurā diennakts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specializētās audžuģimenes bērniem ar smagiem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audžuģimenes nodrošina aprūpi bērniem ar kompleksām vajadzībām, kam nepieciešama pastiprināta uzmanība, individuāla pieeja, nepārtraukta klātbūtne, regulāra sadarbība ar ārstniecības, sociālo pakalpojumu, izglītības un rehabilitācijas institūcijām, kā arī specifiskas zināšanas un prasmes. Aprūpes pienākumi saistīti ar būtiski lielāku fizisko, emocionālo un psiholoģisko slodzi, kā arī ar paaugstinātu civiltiesisko atbildības risku ikdienas aprūpes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Specializētajām audžuģimenēm šobrīd normatīvais regulējums paredz finansiālu atlīdzību par audžuģimenes pienākumu pildīšanu un atsevišķus atbalsta pasākumus, tostarp atbalsta centru  sniegtos pakalpojumus. Tomēr spēkā esošais regulējums neparedz civiltiesiskās atbildības apdrošināšanu un veselības apdrošināšanu specializētajām audžuģimenēm, neskatoties uz šo ģimeņu veikto pienākumu sarežģītību un pieaugošajiem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tas nozīmē, ka specializētās audžuģimenes civiltiesiskās atbildības riskus (piemēram, kaitējuma nodarīšana trešajām personām vai īpašumam bērna uzraudzības laikā), kā arī veselības aprūpes izdevumus, kas rodas pastiprinātas slodzes, traumu vai emocionālas izdegšanas rezultātā, sedz no saviem personiskajiem līdzekļiem. Šāda situācija samazina specializēto audžuģimeņu drošības sajūtu, ietekmē motivāciju uzņemties šāda veida aprūpi un ir viens no faktoriem, kas kavē jaunu specializēto audžuģimeņu piesaisti un esošo noturēšanu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Latvija, saskaņā ar Apvienoto Nāciju Organizācijas Bērnu tiesību konvencijas 20. pantu un Latvijas Republikas Satversmes 110. pantu, ir uzņēmusies pienākumu nodrošināt bērniem, kuri palikuši bez vecāku gādības, īpašu aizsardzību un palīdzību, tostarp atbilstošas un ilgtspējīgas aprūpes formas. Šo pienākumu izpilde nav iespējama bez mērķtiecīga un adekvāta atbalsta personām un ģimenēm, kuras praktiski nodrošina bērnu ikdienas aprūpi īpaši sarežģītos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pastāv objektīva nepieciešamība pilnveidot specializēto audžuģimeņu atbalsta sistēmu, ieviešot civiltiesiskās atbildības un veselības apdrošināšanu kā valsts nodrošinātu aizsardzības mehānismu, lai mazinātu riskus, stiprinātu šo ģimeņu drošību un veicinātu specializēto audžuģimeņu ilgtspējīgu iesaisti ārpusģimenes aprūpes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https://www.lm.gov.lv/sites/lm/files/data_content/ricplans_groz_201710171.pdf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https://likumi.lv/ta/id/338304-par-bernu-jaunatnes-un-gimenes-attistibas-pamatnostadnem-2022-2027-gadam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https://www.bac.gov.lv/lv/media/3596/download?attachment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Specializētās audžuģimenes (krīzes audžuģimenes un audžuģimenes bērniem ar smagiem funkcionāliem traucējumiem) nodrošina aprūpi bērniem ar kompleksām vajadzībām, kas ir saistīta ar būtiski lielāku fizisko, emocionālo un psiholoģisko slodzi, kā arī paaugstinātiem civiltiesiskās atbildības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normatīvais regulējums neparedz civiltiesiskās atbildības apdrošināšanu, kā arī veselības apdrošināšanu specializētajai audžuģimenei, proti, personai vai ģimenei, kurai piešķirts specializētās audžuģimenes statuss. Praksē tas nozīmē, ka ar aprūpes pienākumu izpildi saistītie civiltiesiskās atbildības riski un ar pastiprināto slodzi saistītie veselības aprūpes izdevumi jāsedz no audžuģimenes personiskajiem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neesamība samazina specializēto audžuģimeņu drošības sajūtu un var ietekmēt gan motivāciju uzņemties šādu statusu, gan spēju ilgtermiņā nodrošināt aprūpi bērniem ar kompleksām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ar aprūpes nodrošināšanu saistītos riskus un stiprinātu specializēto audžuģimeņu atbalsta sistēmu, paredzēts pilnveidot normatīvo regulējumu, ieviešot civiltiesiskās atbildības apdrošināšanu un veselības apdrošināšanu specializētajām audžuģimenēm.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Civiltiesiskās atbildības apdrošināšana nodrošinās aizsardzību gadījumos, kad bērna aprūpes laikā tiek nodarīts kaitējums trešajām personām vai to īpašumam, savukārt veselības apdrošināšana veicinās specializētās audžuģimenes personu veselības aizsardzību, ņemot vērā pastiprināto slodzi, kas rodas  aprūpes pienākumu izpildes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Plānotie grozījumi veicinās specializēto audžuģimeņu drošību, noturību un ilgtspējīgu iesaisti ārpusģimenes aprūpes sistēmā, vienlaikus sekmējot bērniem ar kompleksām vajadzībām piemērotas ģimeniskas aprūpes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minēto apdrošināšanu administrēšanu specializētajām audžuģimenēm, noteikumu projekts paredz papildināt noteikumus ar  12.11.</w:t>
      </w:r>
      <w:r w:rsidR="00000000" w:rsidRPr="00000000" w:rsidDel="00000000">
        <w:rPr>
          <w:vertAlign w:val="superscript"/>
          <w:rtl w:val="0"/>
        </w:rPr>
        <w:t xml:space="preserve">1</w:t>
      </w:r>
      <w:r w:rsidR="00000000" w:rsidRPr="00000000" w:rsidDel="00000000">
        <w:rPr>
          <w:rtl w:val="0"/>
        </w:rPr>
        <w:t xml:space="preserve"> apakšpunktu nosakot, ka atbalsta centrs nodrošina specializētās audžuģimenes veselības apdrošināšanas līguma noslēgšanu un ar veselības apdrošināšanas saistīto norēķinu veikšanu ar apdrošināšanas kompāniju, veselības apdrošināšanas polišu izsniegšanu specializētajām audžuģimenēm un civiltiesiskās atbildības apdrošināšanas kompensācijas izmaksu specializētajām audžuģimenēm.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visām specializētajām audžuģimenēm tiktu nodrošinātas vienlīdzīgas  veselības apdrošināšanas polises, kā arī ņemot vērā atbalsta centru atšķirīgo administratīvo lielumu un darbības apjomu, veselības apdrošināšanas nodrošināšanai specializētajām audžuģimenēm ir izvēlēts centralizēts iepirkuma modelis, ko īstenos centrs, tādējādi nodrošinot vienotu apdrošināšanas piedāvājumu un vienlīdzīgu attieksmi pret visām specializētajām audžuģimenēm neatkarīgi no to piesaistes konkrētam atbalsta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atbalsta centrs nodrošinās praktisko  veselības apdrošināšanas ieviešanu, proti, slēdzot veselības apdrošināšanas līgumu ar apdrošināšanas kompāniju par atbalsta centra piesaistītajām specializētajām audžuģimenēm, veicot ar veselības apdrošināšanu saistītos norēķinus ar apdrošināšanas kompāniju, izsniedzot polisēs paredzētās veselības apdrošināšanas kartes specializētajām audžuģimenēm, kā arī savlaicīgi informējot apdrošināšanas kompāniju par veselības apdrošināšanas polises izbeigšanu vai jaunas polises nepieciešamību gadījumos, kad tiek piešķirts, izbeigts vai atņemts specializētās audžuģimenes statuss, kā to paredz noteikumu grozījumu projekta 12.11.</w:t>
      </w:r>
      <w:r w:rsidR="00000000" w:rsidRPr="00000000" w:rsidDel="00000000">
        <w:rPr>
          <w:vertAlign w:val="superscript"/>
          <w:rtl w:val="0"/>
        </w:rPr>
        <w:t xml:space="preserve">2</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Civiltiesiskās atbildības apdrošināšana paredzēta kompensācijas veidā. Katra specializētā audžuģimene, kas atbilst Ministru kabineta 2018. gada 26. jūnija noteikumu Nr. 354 "Audžuģimenes noteikumi"   prasībām un pati ir noslēgusi civiltiesiskās atbildības apdrošināšanas līgumu ar apdrošināšanas kompāniju, ir tiesīga saņemt kompensāciju par civiltiesiskās atbildības apdrošināšanas polises iegādi ne vairāk kā 70 </w:t>
      </w:r>
      <w:r w:rsidR="00000000" w:rsidRPr="00000000" w:rsidDel="00000000">
        <w:rPr>
          <w:i w:val="1"/>
          <w:rtl w:val="0"/>
        </w:rPr>
        <w:t xml:space="preserve">euro</w:t>
      </w:r>
      <w:r w:rsidR="00000000" w:rsidRPr="00000000" w:rsidDel="00000000">
        <w:rPr>
          <w:rtl w:val="0"/>
        </w:rPr>
        <w:t xml:space="preserve"> apmērā. Kompensācijas apmērs ir atkarīgs no faktiskajām polises izmaksām, un gadījumos, kad polise iegādāta par zemāku cenu, specializētajai audžuģimenei tiek kompensēti faktiskie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Kompensāciju par civiltiesiskās atbildības apdrošināšanu izmaksā tas atbalsta centrs, ar kuru specializētā audžuģimene ir noslēgusi noteikumos paredzēto līgumu. Atbalsta centrs veic izmaksu, pamatojoties uz iesniegtajiem izdevumus apliecinošiem dokumentiem, attiecīgos datus ievada uzskaites informācijas sistēmā un pēc tam saņem finansējumu no centra, atbilstoši noteiktajai atskaišu un maksājumu kārtībai, proti, atbalsta centra veikto apdrošināšanas izdevumu un sniegto atbalsta pakalpojumu uzskaite un kontrole tiek nodrošināta esošās atskaitīšanās kārtības ietvaros. Atbalsta centrs ministrijas pārziņā esošajā Valsts sociālās politikas monitoringa informācijas sistēmā (SPOLIS) iesniedz ikmēneša pārskatu par atbalsta pakalpojumu faktisko izpildi un faktiski veiktajiem izdevumiem deleģētā valsts pārvaldes uzdevuma izpildes ietvaros, ietverot arī informāciju par veselības apdrošināšanas nodrošināšanu un civiltiesiskās atbildības apdrošināšanas kompensācijām.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un tiesiski skaidru apdrošināšanas atbalsta īstenošanu, Noteikumu projekts paredz, ka līgumā starp atbalsta centru un specializēto audžuģimeni obligāti ietverams nosacījumus par veselības apdrošināšanas nodrošināšanu un civiltiesiskās atbildības apdrošināšanas kompensācijas izmaksu atbilstoši šo noteikumu grozījumu 12.11. un 12.11.</w:t>
      </w:r>
      <w:r w:rsidR="00000000" w:rsidRPr="00000000" w:rsidDel="00000000">
        <w:rPr>
          <w:vertAlign w:val="superscript"/>
          <w:rtl w:val="0"/>
        </w:rPr>
        <w:t xml:space="preserve">1</w:t>
      </w:r>
      <w:r w:rsidR="00000000" w:rsidRPr="00000000" w:rsidDel="00000000">
        <w:rPr>
          <w:rtl w:val="0"/>
        </w:rPr>
        <w:t xml:space="preserve">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noteikumu 22. punktā ietverto finansējuma aprēķina formulu, to papildinot ar jaunu komponenti E, lai skaidri nodalītu un ierobežotu pakalpojuma administrēšanas izdevumus, kas saistīti ar specializētajām audžuģimenēm nodrošinātās veselības apdrošināšanas  un civiltiesiskās atbildības apdrošināšanas kompensāciju izmaksu administrēšanu. Formulas papildināšana ar komponenti E nodrošina, ka arī apdrošināšanas ieviešana tiek iekļauta vienotā finanšu plānošanas un kontroles ietvarā, vienlaikus nosakot maksimāli pieļaujamo administrēšanas izdevumu apmēru – ne vairāk kā 10 % no šo noteikumu 12.11.</w:t>
      </w:r>
      <w:r w:rsidR="00000000" w:rsidRPr="00000000" w:rsidDel="00000000">
        <w:rPr>
          <w:vertAlign w:val="superscript"/>
          <w:rtl w:val="0"/>
        </w:rPr>
        <w:t xml:space="preserve">1</w:t>
      </w:r>
      <w:r w:rsidR="00000000" w:rsidRPr="00000000" w:rsidDel="00000000">
        <w:rPr>
          <w:rtl w:val="0"/>
        </w:rPr>
        <w:t xml:space="preserve"> apakšpunktā minētajām apdrošināšanas un kompensāciju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noteikumu 22.</w:t>
      </w:r>
      <w:r w:rsidR="00000000" w:rsidRPr="00000000" w:rsidDel="00000000">
        <w:rPr>
          <w:vertAlign w:val="superscript"/>
          <w:rtl w:val="0"/>
        </w:rPr>
        <w:t xml:space="preserve">2</w:t>
      </w:r>
      <w:r w:rsidR="00000000" w:rsidRPr="00000000" w:rsidDel="00000000">
        <w:rPr>
          <w:rtl w:val="0"/>
        </w:rPr>
        <w:t xml:space="preserve"> punktu, paredzēts, ka šo noteikumu 3.1. apakšpunktā minētajā līgumā tiek noteikti arī ar specializēto audžuģimeņu apdrošināšanu saistīto pakalpojumu administrēšanas izdevumu apmēri, nosakot, ka tie nepārsniedz 10 % no apdrošināšanas un kompensāciju izmaksām.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36.</w:t>
      </w:r>
      <w:r w:rsidR="00000000" w:rsidRPr="00000000" w:rsidDel="00000000">
        <w:rPr>
          <w:vertAlign w:val="superscript"/>
          <w:rtl w:val="0"/>
        </w:rPr>
        <w:t xml:space="preserve">1</w:t>
      </w:r>
      <w:r w:rsidR="00000000" w:rsidRPr="00000000" w:rsidDel="00000000">
        <w:rPr>
          <w:rtl w:val="0"/>
        </w:rPr>
        <w:t xml:space="preserve"> panta trešā daļa paredz pilnvarojumu Ministru kabinetam noteikt atbalsta centru izveidošanas, darbības un statusa atcelšanas nosacījumus un kārtību. Saskaņā ar minēto pilnvarojumu ir izdoti noteikumi, tomēr spēkā esošajos noteikumos atbalsta centra statusa atcelšanas nosacījumi un kārtība nav noteikti, līdz ar to Ministru kabinetam ar likumu dotais pilnvarojums šajā daļā nav pilnībā īstenots. Esošais regulējums nenosaka nedz gadījumus, kuros atbalsta centra statuss ir atceļams, nedz institūciju kompetenci un procedūru šāda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11. punktā ir paredzēts, ka centrs nodrošina informācijas uzkrāšanu par komersantiem, biedrībām vai nodibinājumiem, kuriem piešķirts vai atcelts atbalsta centra statuss. Tas norāda, ka normatīvais regulējums paredz statusa atcelšanas iespējamību, tomēr kārtība, kādā statuss tiek atcelts, noteikumos nav reglamentēta, radot iekšēju normatīvā regulējuma nepilnību.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rada tiesisko nenoteiktību, var apgrūtināt uzraugošo institūciju rīcību praksē, kā arī rada risku nevienveidīgai normu piemērošanai. Nepieciešamība novērst konstatēto normatīvā regulējuma nepilnību ir aktualizēta arī Ministru kabineta 2025. gada 17. jūnija sēdes protokola Nr. 24 37. § 3. punktā, ar kuru Labklājības ministrijai uzdots izstrādāt grozījumus noteikumos, paredzot atbalsta centru statusa atcelšanas nosacījumus un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konstatēto tiesiskā regulējuma nepilnību un nodrošinātu likuma 36.</w:t>
      </w:r>
      <w:r w:rsidR="00000000" w:rsidRPr="00000000" w:rsidDel="00000000">
        <w:rPr>
          <w:vertAlign w:val="superscript"/>
          <w:rtl w:val="0"/>
        </w:rPr>
        <w:t xml:space="preserve">1</w:t>
      </w:r>
      <w:r w:rsidR="00000000" w:rsidRPr="00000000" w:rsidDel="00000000">
        <w:rPr>
          <w:rtl w:val="0"/>
        </w:rPr>
        <w:t xml:space="preserve"> panta trešajā daļā Ministru kabinetam dotā pilnvarojuma pilnvērtīgu īstenošanu, noteikumi tiek papildināti ar jaunu 8.</w:t>
      </w:r>
      <w:r w:rsidR="00000000" w:rsidRPr="00000000" w:rsidDel="00000000">
        <w:rPr>
          <w:vertAlign w:val="superscript"/>
          <w:rtl w:val="0"/>
        </w:rPr>
        <w:t xml:space="preserve">1</w:t>
      </w:r>
      <w:r w:rsidR="00000000" w:rsidRPr="00000000" w:rsidDel="00000000">
        <w:rPr>
          <w:rtl w:val="0"/>
        </w:rPr>
        <w:t xml:space="preserve"> punktu, kurā noteikti gadījumi, kādos centrs var pieņemt lēmumu par atbalsta centra statusa atcelšanu. Jaunais regulējums ir veidots kā skaidru un izsmeļošu kritēriju kopums, kas aptver būtiskākās situācijas, kurās statusa saglabāšana vairs nav tiesiski vai faktiski pamatota, tostarp gadījumus, kad atbalsta centrs pats lūdz statusa atcelšanu, ir izbeigta tā darbība, sniegtas būtiski nepatiesas ziņas, ilgstoši netiek nodrošināts pakalpojums atbilstoši kvalitātes prasībām vai pakalpojumu sniegšanai tiek izmantotas neatbilstošas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neparedz  automātisku statusa atcelšanu. Regulējums paredz, ka centram ir rīcības brīvība izvērtēt konkrētās situācijas apstākļus, un statusa atcelšana ir paredzēta kā galējs līdzeklis, kas piemērojams tikai specifiskos un būtiskos gadījumos. Gadījumos, kas saistīti ar prasību vai līgumsaistību neizpildi, regulējumā tiek uzsvērta atbalsta centra informēšana un termiņa noteikšana trūkumu novēršanai, tādējādi nodrošinot tiesisko paļāvību un samērīguma principa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paredzētie grozījumi nevis paplašina sankciju piemērošanu, bet gan nostiprina tiesisko skaidrību un paredzamību, vienlaikus ļaujot nodrošināt efektīvu atbalsta centru uzraudzību un bērna labāko interešu aizsardzību. Statusa atcelšanas regulējuma iekļaušana noteikumos ir nepieciešama, galvenokārt, lai izpildītu likumā noteikto deleģējumu, novērstu regulējuma iekšējo nepilnību un nodrošinātu vienotu un caurskatāmu pieeju praksē.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Specializētās audžuģimenes un tajās ievietotie bērni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Specializētām audžuģimenēm papildus atbalsts - veselības apdrošināšana un civiltiesiskās atbildības apdrošināšanas kompensācija, veicot specializētās audžuģimenes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centri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centri nodrošinās specializēto audžuģimeņu veselības apdrošināšanas līgumu noslēgšanu, norēķinus ar apdrošinātāju, polišu izsniegšanu, informācijas sniegšanu par polišu izbeigšanu vai jaunu polišu nepieciešamību, kā arī izmaksās kompensāciju par civiltiesiskās atbildības apdrošināšanu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149 405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158 298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167 191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149 405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158 298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167 191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149 405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158 298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167 191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149 405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158 298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167 191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 gadā</w:t>
            </w:r>
            <w:r w:rsidR="00000000" w:rsidRPr="00000000" w:rsidDel="00000000">
              <w:rPr>
                <w:sz w:val="24"/>
                <w:rtl w:val="0"/>
              </w:rPr>
              <w:t xml:space="preserve"> apakšprogrammas 22.03.00 “Valsts atbalsts ārpusģimenes aprūpei” ietvaros plānoti izdevumi 149 405 euro apmērā, tai skaitā civiltiesiskajai apdrošināšanai 12 936 euro un veselības apdrošināšanai 136 469 euro </w:t>
            </w:r>
            <w:r w:rsidR="00000000" w:rsidRPr="00000000" w:rsidDel="00000000">
              <w:rPr>
                <w:sz w:val="24"/>
                <w:i w:val="1"/>
                <w:rtl w:val="0"/>
              </w:rPr>
              <w:t xml:space="preserve">(detalizētu aprēķinu skatīt 1.un 2.tabulā)</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- 2027.gadā </w:t>
            </w:r>
            <w:r w:rsidR="00000000" w:rsidRPr="00000000" w:rsidDel="00000000">
              <w:rPr>
                <w:sz w:val="24"/>
                <w:rtl w:val="0"/>
              </w:rPr>
              <w:t xml:space="preserve">apakšprogrammas 22.03.00 “Valsts atbalsts ārpusģimenes aprūpei” ietvaros plānoti izdevumi 158 298 euro apmērā, tai skaitā civiltiesiskajai apdrošināšanai 13 706 euro un veselības apdrošināšanai 144 592 euro </w:t>
            </w:r>
            <w:r w:rsidR="00000000" w:rsidRPr="00000000" w:rsidDel="00000000">
              <w:rPr>
                <w:sz w:val="24"/>
                <w:i w:val="1"/>
                <w:rtl w:val="0"/>
              </w:rPr>
              <w:t xml:space="preserve">(detalizētu aprēķinu skatīt 1.un 2.tabulā)</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-2028. gadā un turpmākajos gados</w:t>
            </w:r>
            <w:r w:rsidR="00000000" w:rsidRPr="00000000" w:rsidDel="00000000">
              <w:rPr>
                <w:sz w:val="24"/>
                <w:rtl w:val="0"/>
              </w:rPr>
              <w:t xml:space="preserve"> apakšprogrammas 22.03.00 “Valsts atbalsts ārpusģimenes aprūpei” ietvaros plānoti izdevumi 167 191 euro apmērā, tai skaitā civiltiesiskajai apdrošināšanai 14 476 euro un veselības apdrošināšanai 152 715 euro </w:t>
            </w:r>
            <w:r w:rsidR="00000000" w:rsidRPr="00000000" w:rsidDel="00000000">
              <w:rPr>
                <w:sz w:val="24"/>
                <w:i w:val="1"/>
                <w:rtl w:val="0"/>
              </w:rPr>
              <w:t xml:space="preserve">(detalizētu aprēķinu skatīt 1.un 2.tabulā)</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Civiltiesiskās apdrošināšanas izdevumu aprēķins:  </w:t>
            </w:r>
            <w:r w:rsidR="00000000" w:rsidRPr="00000000" w:rsidDel="00000000">
              <w:rPr>
                <w:sz w:val="24"/>
                <w:rtl w:val="0"/>
              </w:rPr>
              <w:t xml:space="preserve">                                                                                                                                                                                        1.tabula</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16"/>
              <w:gridCol w:w="1570"/>
              <w:gridCol w:w="1524"/>
              <w:gridCol w:w="1457"/>
              <w:gridCol w:w="1331"/>
              <w:tblGridChange w:id="0">
                <w:tblGrid>
                  <w:gridCol w:w="1616"/>
                  <w:gridCol w:w="1570"/>
                  <w:gridCol w:w="1524"/>
                  <w:gridCol w:w="1457"/>
                  <w:gridCol w:w="133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Apdrošināšanas cena vienai ģimenei gadā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ģimeņu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11 760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12 460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13 160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administrēšanas izdevumi 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IZDEVUMI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12 936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13 706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14 476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14 476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Veselības apdrošināšanas izdevumu aprēķins:   </w:t>
            </w:r>
            <w:r w:rsidR="00000000" w:rsidRPr="00000000" w:rsidDel="00000000">
              <w:rPr>
                <w:sz w:val="24"/>
                <w:rtl w:val="0"/>
              </w:rPr>
              <w:t xml:space="preserve">                                                                                                                                                                                            2.tabula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16"/>
              <w:gridCol w:w="1570"/>
              <w:gridCol w:w="1524"/>
              <w:gridCol w:w="1457"/>
              <w:gridCol w:w="1331"/>
              <w:tblGridChange w:id="0">
                <w:tblGrid>
                  <w:gridCol w:w="1616"/>
                  <w:gridCol w:w="1570"/>
                  <w:gridCol w:w="1524"/>
                  <w:gridCol w:w="1457"/>
                  <w:gridCol w:w="133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Apdrošināšanas cena vienai personai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426,86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koeficients 1.73, jo pārsvarā audžuģimenes statuss ir 2 personām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ģimeņu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124 406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131 447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138 832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138 832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administrēšanas izdevumi 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12 406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13 145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13 883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13 883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IZDEVUMI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136 469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144 592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152 715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152 715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22. septembra sēdē (protokollēmuma Nr. 38 1. § 2. punkts) tika atbalstīts Labklājības ministrijas priekšlikums par papildu finansējuma piešķiršanu Labklājības ministrijas prioritārajam pasākumam "Materiālā atbalsta pilnveidošana ārpusģimenes aprūpē esošiem bērniem" īstenošanai. Pasākuma nodrošināšanai ir atbalstīts kopējais papildu finansējums 2026. gadā 24 168 498 euro apmērā, 2027. gadā 26 440 801 euro apmērā, 2028. gadā 30 177 077 euro apmērā un 2029. gadā 30 173 568 euro apmērā, t.sk. Noteikumu projekta ieviešanai 2026. gadā 149 405 euro apmērā, 2027. gadā 158 298 euro, 2028.gadā  un turpmākajos gados 167 191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Noteikumu projekta ieviešanai ir iestrādāts likumā "Par valsts budžetu 2026. gadam un budžeta ietvaru 2026., 2027. un 2028. 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centri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attīstības plāna 2021-2027. gadam rīcības virziena "Sociālā iekļaušana", 114. rīcības virziena mērķa indikators "Aizbildnībā un audžuģimenēs (ģimeniskā vidē) dzīvojošu bērnu īpatsvars no visu ārpusģimenes aprūpē esošo bērnu skaita", 120. rīcības uzdevums -  Ģimeniskas vides veidošana ārpusģimenes aprūpē esošajiem bērniem, ārpusģimenes aprūpē esošo bērnu tiesību aizstāvības un interešu pārstāvniecības, sniegtā atbalsta un pakalpojumu uzlabošana, kā arī atbalsta pakalpojumu pilnveide jauniešiem pēc ārpusģimenes aprūpes, veicinot sociālo iekļaušanu.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ietekmēs iedzīvotāju sociālo situāciju, uzlabojot specializēto audžuģimeņu sociālo drošību un finansiālo stabilitāti. Veselības apdrošināšanas un civiltiesiskās atbildības apdrošināšanas kompensācija mazinās riskus, kas saistīti ar bērnu aprūpes pienākumu veikšanu, veicinās specializēto audžuģimeņu ilgtspēju un pieejamību, kā arī sekmēs kvalitatīvāku atbalstu bērniem ar sarežģītām vajadzībām.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ietekmēs specializēto audžuģimeņu pieejamību veselības aprūpes pakalpojumiem, tādējādi mazinot ar veselības riskiem saistīto slogu uz veselības aprūpes sistēmu un audžuģimeņu veselību.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ietekmēs bērna labākās intereses, veicinot stabilāku, drošāku un kvalitatīvāku aprūpes vidi specializētās audžuģimenēs.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25-TA-1872</w:t>
    </w:r>
    <w:r>
      <w:br/>
    </w:r>
    <w:r w:rsidR="00000000" w:rsidRPr="00000000" w:rsidDel="00000000">
      <w:rPr>
        <w:rtl w:val="0"/>
      </w:rPr>
      <w:t xml:space="preserve">Izdrukāts 29.07.2026. 22.47 - 1.0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25-TA-1872</w:t>
    </w:r>
    <w:r>
      <w:br/>
    </w:r>
    <w:r w:rsidR="00000000" w:rsidRPr="00000000" w:rsidDel="00000000">
      <w:rPr>
        <w:rtl w:val="0"/>
      </w:rPr>
      <w:t xml:space="preserve">Izdrukāts 29.07.2026. 22.47 - 1.0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anotācija_(ex_ante)_25-TA-1872.docx</dc:title>
</cp:coreProperties>
</file>

<file path=docProps/custom.xml><?xml version="1.0" encoding="utf-8"?>
<Properties xmlns="http://schemas.openxmlformats.org/officeDocument/2006/custom-properties" xmlns:vt="http://schemas.openxmlformats.org/officeDocument/2006/docPropsVTypes"/>
</file>