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veiktu grozījumus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(turpmāk – Noteikumi Nr. 530),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Eiropas Savienības kohēzijas politikas programmas 2021.-2027. gadam 5.1.1.5. pasākuma “Unikāla Eiropas mēroga kultūras mantojuma atjaunošana, lai veicinātu to piekļūstamību, attīstot kultūras pakalpojumus” ietvaros pieejamo kopējo finansējumu pilnā apmērā, kas nepieciešams Projekta noteikto augstas gatavības projektu īstenošanai, ātrāk intensificējot ES fondu 2021.-2027. gadu perioda investīciju ieguldījumus.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5. politikas mērķa “Iedzīvotājiem tuvāka Eiropa, veicinot visu veidu teritoriju un vietējo iniciatīvu ilgtspējīgu un integrētu attīstību” ietvaros kultūrai ir būtiska nozīme dzīves kvalitātes uzlabošanā un attīstības veicināšanā, izmantojot teritoriāli pielāgotus risinājumus. Stiprinot kultūras dimensiju, nodrošinot kultūras mantojuma saglabāšanu, aizsardzību un infrastruktūras izveidi, kultūrvēsturiskās, ainaviski vērtīgās teritorijas, unikāls Eiropas līmeņa mantojums, to saglabātība nākotnē būs būtisks dzīves vides kvalitātes rādītājs un sekmēs dzīves vietas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Nr. 530 stāšanos spēkā 2023. gada 16. septembrī noteikta kārtība, kādā tiek īstenots Programmas 5.1. prioritātes “Reģionu līdzsvarota attīstība” 5.1.1. specifiskā atbalsta mērķa “Vietējās teritorijas integrētās sociālās, ekonomiskās un vides attīstības un kultūras mantojuma, tūrisma un drošības veicināšana” (turpmāk – 5.1.1. SAM) 5.1.1.5. pasākums “Unikāla Eiropas mēroga kultūras mantojuma atjaunošana, lai veicinātu to piekļūstamību, attīstot kultūras pakalpojumus” (turpmāk – 5.1.1.5.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ietvaros atbalsts paredzēts unikālu valsts nozīmes kultūras pieminekļu, kas atrodas UNESCO Pasaules mantojuma sarakstā iekļautā teritorijā Rīgas vēsturiskajā centrā, saglabāšanu, aizsargāšanu un attīstīšanu, veicinot objektu piekļūstamību un paplašinot objekta kā ilgtspējīga resursa inovatīvu izmantošanu cilvēka dzīves kvalitātes uzlabošanā un vietējo iedzīvotāju kopienas stiprināšanā, tai skaitā uzlabojot kultūras objektu piekļūstamību cilvēkiem ar īpašām vajadzībām, kā arī integrējot projektos inovatīvus risinājumus, kas ļauj attīstīt kultūras satura digitālo piedāvājumu, paplašinot kultūras mantojuma saturisko piedāvājumu un veicinot kultūras mantojuma kā ilgtspējīga resursa inovatīvu izmantošanu cilvēka dzīves kvalitātes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maksimāli efektīvu kultūras infrastruktūras attīstību un stiprinātu kultūras mantojuma saglabāšanu, ilgtspējību un piekļūstamību, 5.1.1.5. pasākuma ietvaros ierobežotas projektu iesniegumu atlases veidā paredzēts īstenot stratēģiski svarīgus projektus šādu kultūras mantojuma objektu atjaunošanai un publiskās ārtelpas attīstībai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 ģilde (Amatu ielā 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izstāžu zāle Arsenāls (Torņa ielā 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Vecrīgas publiskā ārtelpa,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 attīstības plāna 2021.-2027. gadam (turpmāk - NAP2027) rīcības virziena “Kultūras un sporta devums ilgtspējīgai sabiedrībai” 380. uzdevumam “Kultūras un sporta pakalpojumu un infrastruktūras kartēšana un reģionālās koordinēšanas sistēmas izveidošana, lai attīstītu un efektīvi izmantotu esošo kultūras un sporta infrastruktūru un investētu jaunas infrastruktūras radīšanā”, kas paredz unikāla Eiropas mēroga kultūras mantojuma atjaunošanu, lai veicinātu to piekļūstamību, attīstot kultūras pakalpojumus. NAP2027 indikatīvajā investīciju projektu sarakstā iezīmēti Lielās ģildes un izstāžu zāles “Arsenāls” atjaunošanas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NAP2027 telpiskās attīstības perspektīvas “Rīgas metropoles areāls” 454. virzienam "Multifunkcionālu nacionālas nozīmes objektu rekonstrukcija un attīstība Rīgas pilsētā un tās metropoles areālā kultūras, sporta, zinātnes un citu nacionālas vai starptautiskas nozīmes pasākumu norisei";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attīstības programmas 2022.-2027. gadam 9. mērķim “Daudzveidīga un autentiska kultūrvide”, kas paredz veidot Rīgu par Ziemeļeiropas kultūras metropoli, atbalstot augstvērtīgas kultūras un mākslas norises. Sekmēt Rīgas iedzīvotāju līdzdalību kultūras radīšanā un kultūras pienesumu katra cilvēka izaugsmē, nodrošinot kultūras piekļūstamību visā pilsētā dažādām iedzīvotāju grupām un pilnveidojot kultūras pakalpojumu klāstu. Veidot laikmetīgu kultūrvidi, kas stiprina pilsētas un apkaimju identitāti, aktivizē sabiedrisko dzīvi un ļauj attīstīties daudzveidīgām kopienām. Izmantojot kultūru kā rīku sabiedrības grupu mijiedarbībai, panākt iedzīvotāju savstarpējās uzticēšanās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ilgtspējīgas attīstības stratēģijai līdz 2030. gadam, kas paredz veicināt vēsturiskās apbūves pielāgošanu mūsdienu komforta prasībām, nodrošinot veselīgu dzīves vidi, bet vienlaicīgi arī saglabājot tās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projekta iesniedzējs ir valsts akciju sabiedrība “Valsts nekustamie īpašumi” un Rīgas valstspilsētas pašvaldība, kuras īpašumā, turējumā, lietošanā vai valdījumā atrodas kultūras mantojuma objekts vai infrastruktūra, kurā plānotas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Noteikumos Nr. 530 noteikto, Centrālā finanšu un līgumu aģentūra kā sadarbības iestāde 2023. gada 17. oktobrī ir uzaicinājusi valsts akciju sabiedrību “Valsts nekustamie īpašumi” un Rīgas valstspilsētas pašvaldību sagatavot un iesniegt projekta iesniegumus Eiropas Savienības fondu finansējuma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“Par Finanšu ministrijas pārziņā esošo Eiropas Savienības fondu un ārvalstu finanšu palīdzības aktualitātēm līdz 2023. gada 1. martam (pusgada ziņojums)” (izskatīts Ministru kabineta 2023. gada 25. aprīļa sēdē (prot. Nr. 22 28.§)) (turpmāk – Informatīvais ziņojums) norādītajam pastāv būtiski riski Eiropas Savienības fondu 2021.-2027. gada plānošanas perioda investīciju plāna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kritisks faktors nepieciešamībai intensificēt Eiropas Savienības fondu 2021.-2027. gada plānošanas perioda investīciju plūsmas ir Eiropas Savienības regulējums – programmas ietvaros ir jāizpilda Eiropas Komisijas pieprasāmo izdevumu minimālais apmērs kumulatīvi 2025. gadā un turpmāk līdz 2030. gadam (n+3 mērķis), lai nezaudētu Eiropas Savienības fondu “piešķīrumu”.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apzinājusi aktuālo situāciju par 5.1.1.5. pasākuma ietvaros īstenojamajiem projektiem un, pamatojoties uz izstrādātajiem un būvvaldē saskaņotajiem projektiem, secinājusi, ka gan Lielās ģildes, gan izstāžu zāles “Arsenāls” atjaunošanas darbu projektos ir augsta būvniecības darbu gatavības pakāpe – 2023. gada novembrī 5.1.1.5. pasākuma projekta iesniedzējs, valsts akciju sabiedrība “Valsts nekustamie īpašumi”, ir izsludinājis būvdarbu iepirkumus abu objektu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Lielās ģildes pārbūves projektu paredzēts īstenot divos posmos atbilstoši Eiropas Komisijas 2022. gada 14. decembra vadlīnijām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vienošanās par projekta Nr. 5.5.1.0/20/I/003 “Lielās Ģildes pārbūve un atjaunošana Amatu ielā 6, Rīgā” īstenošanu tika noslēgta pirms 2022. gada 29. jūnija, Lielās ģildes pārbūves projekts posmojams atbilstoši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118a. pantam. Lielās ģildes pārbūves projekts atbilst Regulas Nr. 2021/1060 118a. panta nosacījumiem, tai skaitā kopējās izmaksas pārsniedz 1 000 000 </w:t>
      </w:r>
      <w:r w:rsidR="00000000" w:rsidRPr="00000000" w:rsidDel="00000000">
        <w:rPr>
          <w:i w:val="1"/>
          <w:rtl w:val="0"/>
        </w:rPr>
        <w:t xml:space="preserve">euro</w:t>
      </w:r>
      <w:r w:rsidR="00000000" w:rsidRPr="00000000" w:rsidDel="00000000">
        <w:rPr>
          <w:rtl w:val="0"/>
        </w:rPr>
        <w:t xml:space="preserve">; 5.1.1.5. pasākuma ietvaros īstenojamās darbības no finansiālā viedokļa ir skaidri nošķiramas no darbībām, kas īstenotas Eiropas Savienības struktūrfondu un Kohēzijas fonda 2014.-2020. gada plānošanas perioda 5.5.1. specifiskā atbalsta mērķa “Saglabāt, aizsargāt un attīstīt nozīmīgu kultūras un dabas mantojumu, kā arī attīstīt ar to saistītos pakalpojumus” (turpmāk – 5.5.1. SAM) projekta ietvaros, un tām ir atsevišķas revīzijas liecības, darbības atbilst 5.1.1.5. pasākuma mērķim un 166. intervences kodam “Kultūras mantojuma aizsardzība, pilnveidošana un popularizēšana un kultūras pakalpojumi”; izdevumi, kas iekļauti maksājuma pieteikumā attiecībā uz pirmo posmu, netiks iekļauti nekādos maksājuma pieteikumos attiecībā uz otro 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118a. panta nosacījumiem, tā kā pirmais posms tika īstenots Eiropas Savienības struktūrfondu un Kohēzijas fonda 2014.-2020. gada plānošanas perioda 5.5.1. SAM ceturtās projektu iesniegumu atlases kārtas “Kultūras mantojuma saglabāšana, atjaunošana un ar to saistītās infrastruktūras attīstība Rīgas vēsturiskā centra teritorijā” ietvaros, ievērojot pilnu projekta iesnieguma vērtēšanas procedūru, projekta iesnieguma vērtēšanas otro posmu 5.1.1.5. pasākuma ietvaros iespējams nodrošināt, neīstenojot projekta iesnieguma vērtēšanas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Kultūras ministrija apliecina, ka 5.1.1.5. pasākuma finansējuma saņēmēji un  labuma guvēji atbilst Eiropas Savienības kohēzijas politikas programmas 2021.-2027. gada plānošanas perioda izslēgšanas kritēriju un sankciju nosacījumu neesamībai.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5.1.1. SAM 5.1.1.6. pasākuma “Kultūras mantojuma saglabāšana un jaunu pakalpojumu attīstība” ietvaros šobrīd ir uzsākta projektu iesniegumu vērtēšanas kritēriju saskaņošana Eiropas Savienības struktūrfondu un Kohēzijas fonda 2021.-2027. gada plānošanas perioda apakškomitejā, vienlaikus uzsākot neformālu Ministru kabineta noteikumu par 5.1.1.6. pasākuma īstenošanu saskaņošanu ar sadarbības partneriem. Attiecīgi paredzams, ka 5.1.1.6. pasākuma projektu īstenošana varētu tikt uzsākta 2025. gadā, tādējādi neradot būtisku ietekmi uz 2025. gada deklarējamo izdevumu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intensificētu darbu izpildi un nodrošinātu atbilstošu finanšu plūsmu, Kultūras ministrija rosina atbrīvot 5.1.1.5. pasākuma ietvaros ieplānoto elastības finansējumu, to ieturot 5.1.1.6. pasākuma ietvaros un tādējādi nodrošinot 5.1.1.5. pasākuma ietvaros izsludinātās projektu iesniegumu atlases projekta iesniedzējiem finansējuma pieejamību pilnā apmērā atbilstoši 5.1.1.5. pasākuma ietvaros plānotajam finansējuma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Informatīvajā ziņojumā norādīto par riskiem Eiropas Savienības fondu 2021.-2027. gada plānošanas perioda investīciju plāna izpildē, Kultūras ministrija rosina veikt grozījumus Noteikumos Nr. 530, nosakot, ka 5.1.1.5. pasākuma ietvaros plānotais un pieejamais kopējais attiecināmais finansējums ir ne mazāk kā 33 712 500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granta veidā ne vairāk kā – 28 655 625 </w:t>
      </w:r>
      <w:r w:rsidR="00000000" w:rsidRPr="00000000" w:rsidDel="00000000">
        <w:rPr>
          <w:i w:val="1"/>
          <w:rtl w:val="0"/>
        </w:rPr>
        <w:t xml:space="preserve">euro </w:t>
      </w:r>
      <w:r w:rsidR="00000000" w:rsidRPr="00000000" w:rsidDel="00000000">
        <w:rPr>
          <w:rtl w:val="0"/>
        </w:rPr>
        <w:t xml:space="preserve">un nacionālais finansējums (valsts budžeta līdzfinansējums 4 174 522 </w:t>
      </w:r>
      <w:r w:rsidR="00000000" w:rsidRPr="00000000" w:rsidDel="00000000">
        <w:rPr>
          <w:i w:val="1"/>
          <w:rtl w:val="0"/>
        </w:rPr>
        <w:t xml:space="preserve">euro </w:t>
      </w:r>
      <w:r w:rsidR="00000000" w:rsidRPr="00000000" w:rsidDel="00000000">
        <w:rPr>
          <w:rtl w:val="0"/>
        </w:rPr>
        <w:t xml:space="preserve">un pašvaldības līdzfinansējums 882 353 </w:t>
      </w:r>
      <w:r w:rsidR="00000000" w:rsidRPr="00000000" w:rsidDel="00000000">
        <w:rPr>
          <w:i w:val="1"/>
          <w:rtl w:val="0"/>
        </w:rPr>
        <w:t xml:space="preserve">euro</w:t>
      </w:r>
      <w:r w:rsidR="00000000" w:rsidRPr="00000000" w:rsidDel="00000000">
        <w:rPr>
          <w:rtl w:val="0"/>
        </w:rPr>
        <w:t xml:space="preserve">) (turpmāk – nacionālais finansējums) – 5 056 875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Noteikumos Nr. 530 veiktas izmaiņas arī finansējuma saņēmēja, valsts akciju sabiedrības “Valsts nekustamie īpašumi”, pieejamajam ERAF finansējuma apjomam, nosakot, ka Lielā ģildes  un izstāžu zāles “Arsenāls” atjaunošanai pieejamais ERAF finansējums – ne vairāk kā 23 655 625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pasākuma Eiropas Reģionālā attīstības fonda finansējums 28 655 625 </w:t>
      </w:r>
      <w:r w:rsidR="00000000" w:rsidRPr="00000000" w:rsidDel="00000000">
        <w:rPr>
          <w:i w:val="1"/>
          <w:rtl w:val="0"/>
        </w:rPr>
        <w:t xml:space="preserve">euro </w:t>
      </w:r>
      <w:r w:rsidR="00000000" w:rsidRPr="00000000" w:rsidDel="00000000">
        <w:rPr>
          <w:rtl w:val="0"/>
        </w:rPr>
        <w:t xml:space="preserve">apmērā atbilst 166. intervences kodam „Kultūras mantojuma aizsardzība, pilnveidošana un popularizēšana un kultūras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tiek veikti tehniski precizējumi attiecībā uz projektu komunikācijas un vizuālās identitātes prasību nodrošināšanas izmaksu attiecināmību, nodrošinot atbilstību jaunākajai informācijai, kas atbilstoši eWIKI Eiropas Komisijas 2023. gada 13. aprīļa sniegtajai atbildei Horvātijai, publicēšanas prasības, ciktāl to mērķis ir atzīt Savienības finansējuma izcelsmi un nodrošināt tā redzamību, Eiropas Komisijas ieskatā, nav komercdarbības atbalsts, jo dalībvalstij ir pienākums bez jebkādas rīcības brīvības nodrošināt “informāciju, saziņu un publicitāti” saskaņā ar Savienības tiesību aktiem (Atbilstoši Eiropas Parlamenta un Padomes 2021. gada 12. februāra Regulas (ES) Nr. 2021/241, ar ko izveido Atveseļošanas un noturības mehānismu 34.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spēkā stāšanās nepieciešams veikt grozījumus 5.1.1.5. pasākuma projektu iesniegumu atlases nolikumā, precizējot finansējuma saņēmējiem projekta iesnieguma atlases ietvaros pieejamo finansējuma apmēru, vienlaikus Centrālajai finanšu un līgumu aģentūrai nodrošinot projektu iesniedzēju informēšanu par veicamajiem precizējumiem projekta iesniegumos.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Potenciālais projekta iesniedzējs – valsts akciju sabiedrība "Valsts nekustamie īpašumi" un iespējamie sadarbības partneri, t.i., pašvaldības, pašvaldību iestādes, pašvaldību kapitālsabiedrības, valsts kapitālsabiedrības.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īstenošanas ietekmi uz administratīvajām procedūrām, ir identificējams administratīvā sloga palielinājums potenciālajiem finansējuma saņēmējiem un Eiropas Savienības fondu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4 911 765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7 947 059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7 779 412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-1 147 059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-979 412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-661 765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-1 147 059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-979 412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-52 941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5.1.1.5. pasākuma ietvaros plānotais un pieejamais kopējais finansējums ir 33 712 500 </w:t>
            </w:r>
            <w:r w:rsidR="00000000" w:rsidRPr="00000000" w:rsidDel="00000000">
              <w:rPr>
                <w:sz w:val="24"/>
                <w:i w:val="1"/>
                <w:rtl w:val="0"/>
              </w:rPr>
              <w:t xml:space="preserve">euro</w:t>
            </w:r>
            <w:r w:rsidR="00000000" w:rsidRPr="00000000" w:rsidDel="00000000">
              <w:rPr>
                <w:sz w:val="24"/>
                <w:rtl w:val="0"/>
              </w:rPr>
              <w:t xml:space="preserve">, tai skaitā ERAF finansējums – 28 655 625 </w:t>
            </w:r>
            <w:r w:rsidR="00000000" w:rsidRPr="00000000" w:rsidDel="00000000">
              <w:rPr>
                <w:sz w:val="24"/>
                <w:i w:val="1"/>
                <w:rtl w:val="0"/>
              </w:rPr>
              <w:t xml:space="preserve">euro </w:t>
            </w:r>
            <w:r w:rsidR="00000000" w:rsidRPr="00000000" w:rsidDel="00000000">
              <w:rPr>
                <w:sz w:val="24"/>
                <w:rtl w:val="0"/>
              </w:rPr>
              <w:t xml:space="preserve">un nacionālais finansējums (valsts budžeta līdzfinansējums un pašvaldības līdzfinansējums) – 5 056 875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projektu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projektu ieviešanai nepieciešamie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ministrijas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5 000 000 </w:t>
            </w:r>
            <w:r w:rsidR="00000000" w:rsidRPr="00000000" w:rsidDel="00000000">
              <w:rPr>
                <w:sz w:val="24"/>
                <w:i w:val="1"/>
                <w:rtl w:val="0"/>
              </w:rPr>
              <w:t xml:space="preserve">euro</w:t>
            </w:r>
            <w:r w:rsidR="00000000" w:rsidRPr="00000000" w:rsidDel="00000000">
              <w:rPr>
                <w:sz w:val="24"/>
                <w:rtl w:val="0"/>
              </w:rPr>
              <w:t xml:space="preserve">; (ERAF 4 250 000 </w:t>
            </w:r>
            <w:r w:rsidR="00000000" w:rsidRPr="00000000" w:rsidDel="00000000">
              <w:rPr>
                <w:sz w:val="24"/>
                <w:i w:val="1"/>
                <w:rtl w:val="0"/>
              </w:rPr>
              <w:t xml:space="preserve">euro</w:t>
            </w:r>
            <w:r w:rsidR="00000000" w:rsidRPr="00000000" w:rsidDel="00000000">
              <w:rPr>
                <w:sz w:val="24"/>
                <w:rtl w:val="0"/>
              </w:rPr>
              <w:t xml:space="preserve">; nacionālais finansējums 750 000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8 000 000 </w:t>
            </w:r>
            <w:r w:rsidR="00000000" w:rsidRPr="00000000" w:rsidDel="00000000">
              <w:rPr>
                <w:sz w:val="24"/>
                <w:i w:val="1"/>
                <w:rtl w:val="0"/>
              </w:rPr>
              <w:t xml:space="preserve">euro</w:t>
            </w:r>
            <w:r w:rsidR="00000000" w:rsidRPr="00000000" w:rsidDel="00000000">
              <w:rPr>
                <w:sz w:val="24"/>
                <w:rtl w:val="0"/>
              </w:rPr>
              <w:t xml:space="preserve">; (ERAF 6 800 000 </w:t>
            </w:r>
            <w:r w:rsidR="00000000" w:rsidRPr="00000000" w:rsidDel="00000000">
              <w:rPr>
                <w:sz w:val="24"/>
                <w:i w:val="1"/>
                <w:rtl w:val="0"/>
              </w:rPr>
              <w:t xml:space="preserve">euro</w:t>
            </w:r>
            <w:r w:rsidR="00000000" w:rsidRPr="00000000" w:rsidDel="00000000">
              <w:rPr>
                <w:sz w:val="24"/>
                <w:rtl w:val="0"/>
              </w:rPr>
              <w:t xml:space="preserve">; nacionālais finansējums 1 200 000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8 000 000 </w:t>
            </w:r>
            <w:r w:rsidR="00000000" w:rsidRPr="00000000" w:rsidDel="00000000">
              <w:rPr>
                <w:sz w:val="24"/>
                <w:i w:val="1"/>
                <w:rtl w:val="0"/>
              </w:rPr>
              <w:t xml:space="preserve">euro</w:t>
            </w:r>
            <w:r w:rsidR="00000000" w:rsidRPr="00000000" w:rsidDel="00000000">
              <w:rPr>
                <w:sz w:val="24"/>
                <w:rtl w:val="0"/>
              </w:rPr>
              <w:t xml:space="preserve">; (ERAF 6 800 000 </w:t>
            </w:r>
            <w:r w:rsidR="00000000" w:rsidRPr="00000000" w:rsidDel="00000000">
              <w:rPr>
                <w:sz w:val="24"/>
                <w:i w:val="1"/>
                <w:rtl w:val="0"/>
              </w:rPr>
              <w:t xml:space="preserve">euro</w:t>
            </w:r>
            <w:r w:rsidR="00000000" w:rsidRPr="00000000" w:rsidDel="00000000">
              <w:rPr>
                <w:sz w:val="24"/>
                <w:rtl w:val="0"/>
              </w:rPr>
              <w:t xml:space="preserve">; nacionālais finansējums 1 200 000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4 237 500 </w:t>
            </w:r>
            <w:r w:rsidR="00000000" w:rsidRPr="00000000" w:rsidDel="00000000">
              <w:rPr>
                <w:sz w:val="24"/>
                <w:i w:val="1"/>
                <w:rtl w:val="0"/>
              </w:rPr>
              <w:t xml:space="preserve">euro</w:t>
            </w:r>
            <w:r w:rsidR="00000000" w:rsidRPr="00000000" w:rsidDel="00000000">
              <w:rPr>
                <w:sz w:val="24"/>
                <w:rtl w:val="0"/>
              </w:rPr>
              <w:t xml:space="preserve">; (ERAF 3 601 875 </w:t>
            </w:r>
            <w:r w:rsidR="00000000" w:rsidRPr="00000000" w:rsidDel="00000000">
              <w:rPr>
                <w:sz w:val="24"/>
                <w:i w:val="1"/>
                <w:rtl w:val="0"/>
              </w:rPr>
              <w:t xml:space="preserve">euro</w:t>
            </w:r>
            <w:r w:rsidR="00000000" w:rsidRPr="00000000" w:rsidDel="00000000">
              <w:rPr>
                <w:sz w:val="24"/>
                <w:rtl w:val="0"/>
              </w:rPr>
              <w:t xml:space="preserve">; nacionālais finansējums 635 625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4 237 500 </w:t>
            </w:r>
            <w:r w:rsidR="00000000" w:rsidRPr="00000000" w:rsidDel="00000000">
              <w:rPr>
                <w:sz w:val="24"/>
                <w:i w:val="1"/>
                <w:rtl w:val="0"/>
              </w:rPr>
              <w:t xml:space="preserve">euro</w:t>
            </w:r>
            <w:r w:rsidR="00000000" w:rsidRPr="00000000" w:rsidDel="00000000">
              <w:rPr>
                <w:sz w:val="24"/>
                <w:rtl w:val="0"/>
              </w:rPr>
              <w:t xml:space="preserve">; (ERAF 3 601 875 </w:t>
            </w:r>
            <w:r w:rsidR="00000000" w:rsidRPr="00000000" w:rsidDel="00000000">
              <w:rPr>
                <w:sz w:val="24"/>
                <w:i w:val="1"/>
                <w:rtl w:val="0"/>
              </w:rPr>
              <w:t xml:space="preserve">euro</w:t>
            </w:r>
            <w:r w:rsidR="00000000" w:rsidRPr="00000000" w:rsidDel="00000000">
              <w:rPr>
                <w:sz w:val="24"/>
                <w:rtl w:val="0"/>
              </w:rPr>
              <w:t xml:space="preserve">; nacionālais finansējums 635 625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4 237 500 </w:t>
            </w:r>
            <w:r w:rsidR="00000000" w:rsidRPr="00000000" w:rsidDel="00000000">
              <w:rPr>
                <w:sz w:val="24"/>
                <w:i w:val="1"/>
                <w:rtl w:val="0"/>
              </w:rPr>
              <w:t xml:space="preserve">euro </w:t>
            </w:r>
            <w:r w:rsidR="00000000" w:rsidRPr="00000000" w:rsidDel="00000000">
              <w:rPr>
                <w:sz w:val="24"/>
                <w:rtl w:val="0"/>
              </w:rPr>
              <w:t xml:space="preserve">(ERAF 3 601 875 </w:t>
            </w:r>
            <w:r w:rsidR="00000000" w:rsidRPr="00000000" w:rsidDel="00000000">
              <w:rPr>
                <w:sz w:val="24"/>
                <w:i w:val="1"/>
                <w:rtl w:val="0"/>
              </w:rPr>
              <w:t xml:space="preserve">euro</w:t>
            </w:r>
            <w:r w:rsidR="00000000" w:rsidRPr="00000000" w:rsidDel="00000000">
              <w:rPr>
                <w:sz w:val="24"/>
                <w:rtl w:val="0"/>
              </w:rPr>
              <w:t xml:space="preserve">; nacionālais finansējums 635 625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lūgs veikt nepieciešamā finansējuma pārdali no 74. resora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Ministru kabineta 2023. gada 12. septembra noteikumu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izstrādes laikā.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23-TA-2900</w:t>
    </w:r>
    <w:r>
      <w:br/>
    </w:r>
    <w:r w:rsidR="00000000" w:rsidRPr="00000000" w:rsidDel="00000000">
      <w:rPr>
        <w:rtl w:val="0"/>
      </w:rPr>
      <w:t xml:space="preserve">Izdrukāts 29.07.2026. 23.24 - 3.0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23-TA-2900</w:t>
    </w:r>
    <w:r>
      <w:br/>
    </w:r>
    <w:r w:rsidR="00000000" w:rsidRPr="00000000" w:rsidDel="00000000">
      <w:rPr>
        <w:rtl w:val="0"/>
      </w:rPr>
      <w:t xml:space="preserve">Izdrukāts 29.07.2026. 23.24 - 3.0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anotācija_(ex_ante)_23-TA-2900.docx</dc:title>
</cp:coreProperties>
</file>

<file path=docProps/custom.xml><?xml version="1.0" encoding="utf-8"?>
<Properties xmlns="http://schemas.openxmlformats.org/officeDocument/2006/custom-properties" xmlns:vt="http://schemas.openxmlformats.org/officeDocument/2006/docPropsVTypes"/>
</file>