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Saeimas vēlēšanu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informatīvo ziņojumu "Par vēlēšanu procesu nodrošināšanai nepieciešamo informācijas un komunikācijas tehnoloģiju, resursu apjomu un ilgtermiņa vīziju"" (23-TA-3158) (turpmāk - Ziņojums), kas saskaņā ar publisku pieejamo informāciju (https://tapportals.mk.gov.lv) tika pieņemts Ministru kabineta 2024. gada 30. janvāra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nodalīt kompetenci starp Pilsonības un migrācijas lietu pārvaldi (turpmāk – PMLP) kā Vēlētāju reģistra pārzini un Valsts reģionālās attīstības aģentūru (turpmāk - VRAA), kura no 2024. gada 1. septembra būs Elektroniskā tiešsaistes vēlētāju reģistra (turpmāk - ETVR)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noteikts, ka, sākot ar 2024. gada 1. septembri, VRAA būs ETVR pārzinis.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ir Vēlētāju reģistra pārzinis. Saskaņā ar Ministru kabineta 2020.gada 26.februāra rīkojumu Nr.76 tika atbalstīts konceptuālajā ziņojumā “Par eID karti kā derīgu personu apliecinošu dokumentu Saeimas vēlēšanās” (turpmāk – konceptuālais ziņojums) ietvertais pirmais risinājums. Atbalstītā risinājuma mērķis bija izveidot  Vēlētāju reģistra informācijas sistēmas moduli  ETVR, lai vēlētāji Saeimas vēlēšanās varētu balsot, izmantojot arī personas apliecību (eID karti). Lai veicinātu vienotu vēlēšanu procesu attīstību, konceptuālajā ziņojumā tika paredzēts, ka ETVR tiks izmantots ne tikai Saeimas vēlēšanās, bet arī Eiropas Parlamenta vēlēšanās un pašvaldības domes vēlēšanās. Ievērojot minēto, 2021.gada pašvaldības domes vēlēšanās un 14.Saeimas vēlēšanās sekmīgi tika izmantots ETVR.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Ziņojumā noteikto, sākot ar 2024.gada 1.septembri ETVR pārzinis būs VRAA, kas nodrošinās ETVR izmantošanu vēlēšanās un pašvaldību referendumos.  Šobrīd Saeimas vēlēšanu likumā ir paredzēta tikai Vēlētāju reģistra izmantošana. Līdz ar to, Saeimas vēlēšanu likumā ir nepieciešams noteikt Vēlētāju reģistra un ETVR darbības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Ziņojumā noteikto, Saeimas vēlēšanu likumā ir nosakāms, ka ETVR tiks veikta vēlētāju datu pārbaude par piedalīšanos vēlēšanās un izdarīta atzīme par vēlētāja dalību Saeimas vēlēšanās. Saeimas vēlēšanu likumā šobrīd nav paredzēts  ETVR darbības ietvars, kur tiks nodrošināta vēlētāja datu pārbaude par piedalīšanos vēlēšanās un izdarīta atzīme par vēlētāja dalību. Līdz ar to, Saeimas vēlēšanu likumā ir nepieciešams noteikt Vēlētāju reģistra un ETVR darbības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grozīt Saeimas vēlēšanu likuma 22. panta trešo un 3.</w:t>
      </w:r>
      <w:r w:rsidR="00000000" w:rsidRPr="00000000" w:rsidDel="00000000">
        <w:rPr>
          <w:vertAlign w:val="superscript"/>
          <w:rtl w:val="0"/>
        </w:rPr>
        <w:t xml:space="preserve">1</w:t>
      </w:r>
      <w:r w:rsidR="00000000" w:rsidRPr="00000000" w:rsidDel="00000000">
        <w:rPr>
          <w:rtl w:val="0"/>
        </w:rPr>
        <w:t xml:space="preserve"> daļu, 24. panta 6.</w:t>
      </w:r>
      <w:r w:rsidR="00000000" w:rsidRPr="00000000" w:rsidDel="00000000">
        <w:rPr>
          <w:vertAlign w:val="superscript"/>
          <w:rtl w:val="0"/>
        </w:rPr>
        <w:t xml:space="preserve">1</w:t>
      </w:r>
      <w:r w:rsidR="00000000" w:rsidRPr="00000000" w:rsidDel="00000000">
        <w:rPr>
          <w:rtl w:val="0"/>
        </w:rPr>
        <w:t xml:space="preserve"> daļu, 45.</w:t>
      </w:r>
      <w:r w:rsidR="00000000" w:rsidRPr="00000000" w:rsidDel="00000000">
        <w:rPr>
          <w:vertAlign w:val="superscript"/>
          <w:rtl w:val="0"/>
        </w:rPr>
        <w:t xml:space="preserve">2</w:t>
      </w:r>
      <w:r w:rsidR="00000000" w:rsidRPr="00000000" w:rsidDel="00000000">
        <w:rPr>
          <w:rtl w:val="0"/>
        </w:rPr>
        <w:t xml:space="preserve"> panta pirmo daļu, 48.</w:t>
      </w:r>
      <w:r w:rsidR="00000000" w:rsidRPr="00000000" w:rsidDel="00000000">
        <w:rPr>
          <w:vertAlign w:val="superscript"/>
          <w:rtl w:val="0"/>
        </w:rPr>
        <w:t xml:space="preserve">1</w:t>
      </w:r>
      <w:r w:rsidR="00000000" w:rsidRPr="00000000" w:rsidDel="00000000">
        <w:rPr>
          <w:rtl w:val="0"/>
        </w:rPr>
        <w:t xml:space="preserve"> panta otro un 2.</w:t>
      </w:r>
      <w:r w:rsidR="00000000" w:rsidRPr="00000000" w:rsidDel="00000000">
        <w:rPr>
          <w:vertAlign w:val="superscript"/>
          <w:rtl w:val="0"/>
        </w:rPr>
        <w:t xml:space="preserve">1</w:t>
      </w:r>
      <w:r w:rsidR="00000000" w:rsidRPr="00000000" w:rsidDel="00000000">
        <w:rPr>
          <w:rtl w:val="0"/>
        </w:rPr>
        <w:t xml:space="preserve"> daļu, 48.</w:t>
      </w:r>
      <w:r w:rsidR="00000000" w:rsidRPr="00000000" w:rsidDel="00000000">
        <w:rPr>
          <w:vertAlign w:val="superscript"/>
          <w:rtl w:val="0"/>
        </w:rPr>
        <w:t xml:space="preserve">2</w:t>
      </w:r>
      <w:r w:rsidR="00000000" w:rsidRPr="00000000" w:rsidDel="00000000">
        <w:rPr>
          <w:rtl w:val="0"/>
        </w:rPr>
        <w:t xml:space="preserve"> panta pirmo, trešo un ceturto daļu, 48.</w:t>
      </w:r>
      <w:r w:rsidR="00000000" w:rsidRPr="00000000" w:rsidDel="00000000">
        <w:rPr>
          <w:vertAlign w:val="superscript"/>
          <w:rtl w:val="0"/>
        </w:rPr>
        <w:t xml:space="preserve">3</w:t>
      </w:r>
      <w:r w:rsidR="00000000" w:rsidRPr="00000000" w:rsidDel="00000000">
        <w:rPr>
          <w:rtl w:val="0"/>
        </w:rPr>
        <w:t xml:space="preserve"> panta pirmo daļu. Minētajos grozījumos paredzēts, ka turpmāk pārbaude, vai persona ir piedalījusies Saeimas vēlēšanās un atzīmes izdarīšana par vēlētāja dalību vēlēšanās būs izdarīta ETVR tiešsaistes režīmā. Tātad tiks nodrošināts, ka Saeimas vēlēšanu likumā esošās tiesību normas noteiks ETVR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un 6. pantā paredzēts grozīt Saeimas vēlēšanu likuma 45.</w:t>
      </w:r>
      <w:r w:rsidR="00000000" w:rsidRPr="00000000" w:rsidDel="00000000">
        <w:rPr>
          <w:vertAlign w:val="superscript"/>
          <w:rtl w:val="0"/>
        </w:rPr>
        <w:t xml:space="preserve">1</w:t>
      </w:r>
      <w:r w:rsidR="00000000" w:rsidRPr="00000000" w:rsidDel="00000000">
        <w:rPr>
          <w:rtl w:val="0"/>
        </w:rPr>
        <w:t xml:space="preserve"> panta piekto daļu un 45.</w:t>
      </w:r>
      <w:r w:rsidR="00000000" w:rsidRPr="00000000" w:rsidDel="00000000">
        <w:rPr>
          <w:vertAlign w:val="superscript"/>
          <w:rtl w:val="0"/>
        </w:rPr>
        <w:t xml:space="preserve">3</w:t>
      </w:r>
      <w:r w:rsidR="00000000" w:rsidRPr="00000000" w:rsidDel="00000000">
        <w:rPr>
          <w:rtl w:val="0"/>
        </w:rPr>
        <w:t xml:space="preserve"> panta trešo daļu, nosakot, ka piekļuvi ETVR Ieslodzījuma vietām un Nacionālajiem bruņotajiem spēkiem nodrošinās VRAA. Šādi grozījumi ir pamatojami ar to, ka ETVR, sākot ar 2024. gada 1. septembri, būs VRAA pārziņā.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paredzēts grozīt Saeimas vēlēšanu likuma V2 nodaļas nosaukumu atbilstoši faktiskajai situācijai, proti, turpmāk nodaļa noteikts kārtību, kādā notiks balsošana ETVR darbības pārtraukuma laikā. Šobrīd minētajā nodaļā noteikta kārtība, kādā notiek balsošana, ja ir noticis Vēlētāju reģistra tiešsaistes režīma darbības pārtraukums.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ar vēlēšanām saistītie elektroniskie pakalpojumi tuvākajā nākotnē būs VRAA pārziņā. Kā rezultātā likumprojekta 3. pantā paredzēts grozīt Saeimas vēlēšanu likuma 45. panta sesto daļu, nosakot vispārēju formulējumu par e-pakalpojumu, kas nodrošinās balsošanu pa pastu. Minētais grozījums ir nepieciešams, lai e-pakalpojuma pārziņa maiņas gadījumā nevajadzētu grozīt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grozīt Saeimas vēlēšanu likuma 45. panta otras daļas 1. un 2. punktu, jo saskaņā ar minētajā pantā noteiktajiem termiņiem iecirkņa komisija nepieciešamo datu pārbaudi veic Vēlētāju reģistrā, kad vēl nedarbojas ETVR.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Eiropas Parlamenta vēlēšanu likumā (24-TA-498)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Eiropas Parlamenta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Pašvaldības domes vēlēšanu likumā (24-TA-494)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Pašvaldības domes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Vietējo pašvaldību referendumu likumā (24-TA-500)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Vietējo pašvaldību referendumu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Vēlētāju reģistra likumā (24-TA-482)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Vēlētāju reģistra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2016. gada 14. jūnija noteikumi Nr. 375 “Valsts reģionālās attīstības aģentūras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VRAA kompetenci regulējošos normatīvos aktus, kur jāparedz, ka VRAA kompetencē turpmāk būs arī ar vēlēšanām saistīto funkciju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24-TA-497</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24-TA-497</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anotācija_(ex_ante)_24-TA-497.docx</dc:title>
</cp:coreProperties>
</file>

<file path=docProps/custom.xml><?xml version="1.0" encoding="utf-8"?>
<Properties xmlns="http://schemas.openxmlformats.org/officeDocument/2006/custom-properties" xmlns:vt="http://schemas.openxmlformats.org/officeDocument/2006/docPropsVTypes"/>
</file>