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"Valsts un Eiropas Savienības atbalsta piešķiršanas kārtība pasākumā "Akvakultūra, kas nodrošina vides pakalpojumus""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"Valsts un Eiropas Savienības atbalsta piešķiršanas kārtība pasākumā "Akvakultūra, kas nodrošina vides pakalpojumus"" (turpmāk – noteikumu projekts) ir sagatavots, pamatojoties uz Lauksaimniecības un lauku attīstības likuma 5. panta ceturto un septīto daļu, kā arī saskaņā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2021. gada 7. jūlija Regulu (ES) 2021/1139, ar ko izveido Eiropas Jūrlietu, zvejniecības un akvakultūras fondu un groza Regulu (ES) 2017/1004 (turpmāk – regula 2021/1139);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Parlamenta un Padomes 2021. gada 24. jūnija Regulu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2021/1060);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Komisijas 2022. gada 19. janvāra Īstenošanas regulu (ES) 2022/79, ar ko nosaka Eiropas Parlamenta un Padomes Regulas (ES) 2021/1139 piemērošanas noteikumus attiecībā uz darbības līmeņa īstenošanas datu reģistrēšanu, nosūtīšanu un izklāstu (turpmāk – regula 2022/79).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Komisijas 2022. gada 29. jūnija Deleģēto regulu (ES) 2022/2181, ar ko Eiropas Parlamenta un Padomes Regulu (ES) 2021/1139 par Eiropas Jūrlietu, zvejniecības un akvakultūras fondu papildina attiecībā uz atbalsta pieteikumu (turpmāk – regula 2022/2181).</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1. janvārī Latvijā sākās jaunais 2021.–2027. gada Eiropas Jūrlietu, zvejniecības un akvakultūras fonda (turpmāk – EJZAF) plānošanas periods, ko regulē regulas 2021/1139, 2021/1060, 2022/79 un 2022/2181. Noteikumu projekta mērķis ir noteikt kārtību, kādā piešķir valsts un Eiropas Savienības atbalstu pasākumā "Akvakultūra, kas nodrošina vides pakalpojumus".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1. janvārī sākās jaunais 2021.–2027. gada EJZAF plānošanas periods, ko regulē regulas 2021/1060 un 2021/1139. To uzsākot, nepieciešams izdot jaunus Ministru kabineta noteikumus. Noteikumu projekts paredz atbalstu akvakultūras saimniecībām, kas ievēro paaugstinātas ūdens vides prasības un nodarbojas ar bioloģisku akvakultūru.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noteikti pasākuma "Akvakultūra, kas nodrošina vides pakalpojumus" atbalsta saņemšanas nosacījumi, publiskā atbalsta apmērs, pieteikšanās kārtība un iesniedzamie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atbalsts, kas tiek piešķirts no Eiropas Jūrlietu, zvejniecības un akvakultūras fonda nav atsevišķi jāsaskaņo ar Eiropas Komisiju saskaņā ar Eiropas Parlamenta un Padomes 2021. gada 7. jūlija Regulas (ES) 2021/1139, ar ko izveido Eiropas Jūrlietu, zvejniecības un akvakultūras fondu un groza Regulu (ES) 2017/1004 Regulas 10.pantu.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atbilst regulas 2021/1139 26. panta 1. punkta "a" apakšpunktā ietvertajam konkrētajam mērķim "ilgtspējīgu akvakultūras darbību veicināšana, jo īpaši akvakultūras ražošanas konkurētspējas stiprināšana, vienlaikus nodrošinot, ka darbības ilgtermiņā ir ekoloģiski ilgtspējīgas" un regulas 2021/1139 26. panta 3. punktā minētajām intervencēm, kuras veicina akvakultūru, kas nodrošina ekosistēmu pakalpojumus, kā arī attiecas uz dzīvnieku veselību un labturību akvakultūrā.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regulas nosaka vispārējos principus, kas ietverami zivsaimniecības programmās, un tās savukārt tiek apstiprinātas Eiropas Komisijā. Vienkāršošanas princips, kas ieviests ar 2021. gadu, dalībvalstīm dod rīcības brīvību tiktāl, cik tas regulās nav noteikts kā aizliegums vai ierobežojums.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atbalsta pasākumu ieviešanas kārtība, iestādes, kas pieņem lēmumus, un kritēriji ir noteikti normatīvajos aktos par valsts un Eiropas Savienības atbalsta piešķiršanu, administrēšanu un uzraudzību zivsaimniecības attīstībai 2021.–2027. gada plānošanas periodā. Viena no pamatsastāvdaļām ir Uzraudzības komiteja, kas izveidota, lai pieņemtu ar atbalstiem saistītus lēmumus. Uzraudzības komitejas pieņemtie lēmumi, kā arī apstiprinātie projektu atlases kritēriji atbalsta pasākumiem skatāmi šeit: https://www.zm.gov.lv/lv/uzraudzibas-komitejas-lemumi. Neviens no pasākuma "Akvakultūra, kas nodrošina vides pakalpojumus" Uzraudzības komitejā apstiprinātajiem un noteikumu projekta 1.pielikumā minētajiem projektu atlases kritērijiem nav izslēdzošais kritērijs un punktu skaitu kritērijos piešķir par pilniem pieteiktās platības hektāriem.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2021/1139 12. pants attiecas uz dalītā pārvaldībā īstenotu EJZAF atbalsta attiecināmību. Dalītā pārvaldība nozīmē to, ka par konkrētas programmas īstenošanu atbild gan Eiropas Komisija, gan dalībvalstu iestādes, kā ministrijas un publiskā sektora iestādes. Tāpēc ir sagatavota un Eiropas Komisijā iesniegta un š.g. 5. decembrī apstiprināta Latvijas programma zivsaimniecības attīstībai 2021.–2027. gadam, kura atbilst visiem pārējiem saistošiem Eiropas Savienības tiesību aktiem un politikas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 gada 6. jūlija sēdes protokollēmumā 2021-MK.PROT-51#83 "Informatīvais ziņojums "Par Rīcības programmu zivsaimniecības attīstībai 2021.–2027. gadam" noteikts pienākumu izstrādāt tiesību akta projektus.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veterinārajā dienestā reģistrēti vai atzīti akvakultūras nozares uzņēmumi un Pārtikas un veterinārajā dienestā reģistrēti bioloģiskās akvakultūras nozares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ietvertais tiesiskais regulējums attieksies uz atbalsta pretendentiem – minētajām juridiskajām personām.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1 393,00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Pārtikas un veterinārajā dienestā reģistrēti vai atzīti akvakultūras nozares uzņēmumi un Pārtikas un veterinārajā dienestā reģistrēti bioloģiskās akvakultūras nozares 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9,95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Avots – Centrālās statistikas pārvaldes dati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Pieteikuma informācijas aizpildīšanas laiks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Atbalsta pretendentu skaits, ņemot vērā EJZF ieviešanas pieredzi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Pieteikuma un pārskata iesniegšana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1 393,00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Ņemot vērā Eiropas Jūrlietu un zivsaimniecības fonda ieviešanas pieredzi, uz atbalstu varētu pieteikties 35 atbalsta pretendenti. Administratīvās izmaksas veido iesnieguma aizpildīšana, attiecīgās informācijas sagatavošana un pārskatu iesniegšana.</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1 393,00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925 000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1 129 167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1 129 167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1 129 167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925 000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1 129 167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1 129 167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1 129 167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1 321 428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1 613 095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1 613 095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1 613 095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1 321 428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1 613 095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1 613 095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1 613 095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-396 428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-483 928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-483 928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-483 928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-396 428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-483 928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-483 928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-483 928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-396 428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-483 928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-483 928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-483 928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-396 428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-483 928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-483 928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-483 928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EJZAF Programmu zivsaimniecības attīstībai 2021.–2027. gadam pasākumā "Akvakultūra, kas nodrošina vides pakalpojumus" līdz 2029. gadam kopējais pieejamais finansējums ir 11 000 000 </w:t>
            </w:r>
            <w:r w:rsidR="00000000" w:rsidRPr="00000000" w:rsidDel="00000000">
              <w:rPr>
                <w:sz w:val="24"/>
                <w:i w:val="1"/>
                <w:rtl w:val="0"/>
              </w:rPr>
              <w:t xml:space="preserve">euro</w:t>
            </w:r>
            <w:r w:rsidR="00000000" w:rsidRPr="00000000" w:rsidDel="00000000">
              <w:rPr>
                <w:sz w:val="24"/>
                <w:rtl w:val="0"/>
              </w:rPr>
              <w:t xml:space="preserve">, t.sk. EJZAF finansējums (70 %) 7 700 000 </w:t>
            </w:r>
            <w:r w:rsidR="00000000" w:rsidRPr="00000000" w:rsidDel="00000000">
              <w:rPr>
                <w:sz w:val="24"/>
                <w:i w:val="1"/>
                <w:rtl w:val="0"/>
              </w:rPr>
              <w:t xml:space="preserve">euro </w:t>
            </w:r>
            <w:r w:rsidR="00000000" w:rsidRPr="00000000" w:rsidDel="00000000">
              <w:rPr>
                <w:sz w:val="24"/>
                <w:rtl w:val="0"/>
              </w:rPr>
              <w:t xml:space="preserve">un valsts budžeta finansējums (30%) 3 300 000 </w:t>
            </w:r>
            <w:r w:rsidR="00000000" w:rsidRPr="00000000" w:rsidDel="00000000">
              <w:rPr>
                <w:sz w:val="24"/>
                <w:i w:val="1"/>
                <w:rtl w:val="0"/>
              </w:rPr>
              <w:t xml:space="preserve">euro,</w:t>
            </w:r>
            <w:r w:rsidR="00000000" w:rsidRPr="00000000" w:rsidDel="00000000">
              <w:rPr>
                <w:sz w:val="24"/>
                <w:rtl w:val="0"/>
              </w:rPr>
              <w:t xml:space="preserve"> un kas pirmajā gadā ir 1 321 428 </w:t>
            </w:r>
            <w:r w:rsidR="00000000" w:rsidRPr="00000000" w:rsidDel="00000000">
              <w:rPr>
                <w:sz w:val="24"/>
                <w:i w:val="1"/>
                <w:rtl w:val="0"/>
              </w:rPr>
              <w:t xml:space="preserve">euro,</w:t>
            </w:r>
            <w:r w:rsidR="00000000" w:rsidRPr="00000000" w:rsidDel="00000000">
              <w:rPr>
                <w:sz w:val="24"/>
                <w:rtl w:val="0"/>
              </w:rPr>
              <w:t xml:space="preserve"> un pārējais kopējais pieejamais finansējums turpmākos sešus gadus tiek sadalīts vienādās daļās uz atbalstu attiecināmajiem gadiem. Pasākums paredzēts, lai īstenotu 2. prioritātes "Veicināt ilgtspējīgas akvakultūras darbības un zvejas un akvakultūras produktu apstrādi un tirdzniecību, tādējādi sekmējot pārtikas nodrošinājumu Savienībā" mērķi – veicināt ilgtspējīgas akvakultūras darbības, jo īpaši stiprinās akvakultūras ražošanas konkurētspēju, vienlaikus nodrošinot, ka darbības ilgtermiņā ir ekoloģiski ilgtspējīgas.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Finansējumu pasākuma īstenošanai plānots izmaksāt no budžeta apakšprogrammas 66.10.00. "Maksājumu iestādes izdevumi Eiropas Jūrlietu, zvejniecības un akvakultūras fonda (EJZAF) projektu un pasākumu īstenošanai (2021–2027)".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Nepieciešamo finansējumu Zemkopības ministrija normatīvajos aktos noteiktajā kārtībā pieprasīs no valsts pamatbudžeta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32021R1139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7. jūlija Regula (ES) 2021/1139, ar ko izveido Eiropas Jūrlietu, zvejniecības un akvakultūras fondu un groza Regulu (ES) 2017/1004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32022R79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 gada 19. janvāra Īstenošanas regula (ES) 2022/79, ar ko nosaka Eiropas Parlamenta un Padomes Regulas (ES) 2021/1139 piemērošanas noteikumus attiecībā uz darbības līmeņa īstenošanas datu reģistrēšanu, nosūtīšanu un izklāstu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32022R2181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Deleģētā regula (ES) 2022/2181 (2022. gada 29. jūnijs), ar ko Eiropas Parlamenta un Padomes Regulu (ES) 2021/1139 par Eiropas Jūrlietu, zvejniecības un akvakultūras fondu papildina attiecībā uz atbalsta pieteikumu nepieņemamības sākuma dienu un ilgumu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7. jūlija Regula (ES) 2021/1139, ar ko izveido Eiropas Jūrlietu, zvejniecības un akvakultūras fondu un groza Regulu (ES) 2017/1004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2021/1139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2021/1139 26. panta 1.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2021/1139 1.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2021/1139 11.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24. jūnija 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2021/1060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2022. gada 19. janvāra Īstenošanas regula (ES) 2022/79, ar ko nosaka Eiropas Parlamenta un Padomes Regulas (ES) 2021/1139 piemērošanas noteikumus attiecībā uz darbības līmeņa īstenošanas datu reģistrēšanu, nosūtīšanu un izklāstu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2022/79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2022/79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25.1.3.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Deleģētā regula (ES) 2022/2181 (2022. gada 29. jūnijs), ar ko Eiropas Parlamenta un Padomes Regulu (ES) 2021/1139 par Eiropas Jūrlietu, zvejniecības un akvakultūras fondu papildina attiecībā uz atbalsta pieteikumu nepieņemamības sākuma dienu un ilgumu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2022/2181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2022/2181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Zivsaimniecības nozares nevalstiskās organizācijas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https://vktap.mk.gov.lv/public_participations/public_discussions/a2c7b3c3-5357-4570-99fb-ae1379eb01fa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noteikumiem Nr. 970 "Sabiedrības līdzdalības kārtība attīstības plānošanas procesā", lai informētu sabiedrību par projektu un dotu iespēju izteikt viedokli, noteikumu projekts un tā anotācija no 2022. gada 13. līdz 27. decembrim bija pieejami sabiedriskajai apspriešanai Vienotajā tiesību aktu projektu izstrādes un saskaņošanas portālā. Iebildumi un priekšlikumi no sabiedrības iepriekš minētajā laikposmā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neietekmē iesaistīto institūciju funkcijas un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Jaunas institūcijas nav jāveido. Esošās institūcijas nav jāreorganizē.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 Eiropas Jūrlietu un Zivsaimniecības fonda atbalsta ieviešanai Latvijā 2021.– 2027.gadam atbilst likuma „Par ietekmes uz vidi novērtējumu” 4. panta trešās daļas 1. punkta prasībai par Stratēģisko novērtējumu, un atbilstoši tai ir veikts stratēģiskais ietekmes uz vidi novērtējums (SIVN) un SIVN ietvaros ir sagatavots vides pārskats, kas atrodams Zemkopības ministrijas mājaslapā: https://www.zm.gov.lv/public/ck/files/ZM/zivis/SIVN_EJZF_RP_2021_2027.pdf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SIVN attiecībā uz pasākumu "Akvakultūra, kas nodrošina vides pakalpojumus" minēts, ka tas tieši un pozitīvi ietekmē bioloģisko daudzveidību gan ūdens vidē, gan nelimitējot aizsargājamo dzīvnieku un putnu skaitu. Tāpat tieša un pozitīva ietekme sagaidāma uz ūdeņu kvalitāti un resursu ilgtspējīgu izmantošanu, kā arī uz ainavu aizsardzību. Kopumā nodrošinātā ekosistēmas stabilitāte dos pozitīvu un netiešu ietekmi uz klimatnoturību.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22-TA-3135</w:t>
    </w:r>
    <w:r>
      <w:br/>
    </w:r>
    <w:r w:rsidR="00000000" w:rsidRPr="00000000" w:rsidDel="00000000">
      <w:rPr>
        <w:rtl w:val="0"/>
      </w:rPr>
      <w:t xml:space="preserve">Izdrukāts 29.07.2026. 21.59 - 4.0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22-TA-3135</w:t>
    </w:r>
    <w:r>
      <w:br/>
    </w:r>
    <w:r w:rsidR="00000000" w:rsidRPr="00000000" w:rsidDel="00000000">
      <w:rPr>
        <w:rtl w:val="0"/>
      </w:rPr>
      <w:t xml:space="preserve">Izdrukāts 29.07.2026. 21.59 - 4.0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anotācija_(ex_ante)_22-TA-3135.docx</dc:title>
</cp:coreProperties>
</file>

<file path=docProps/custom.xml><?xml version="1.0" encoding="utf-8"?>
<Properties xmlns="http://schemas.openxmlformats.org/officeDocument/2006/custom-properties" xmlns:vt="http://schemas.openxmlformats.org/officeDocument/2006/docPropsVTypes"/>
</file>