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otrās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un Eiropas Savienības fondu 2021. — 2027. gada plānošanas perioda vadības likuma 19. panta 13.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Eiropas Savienības fondu 2021. - 2027. gada plānošanas perioda vadības likuma 19. panta 13.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profilaktiski un medicīniski novēršamo nāves gadījumu skaitu, ir būtiski uzlabojama veselības aprūpes pakalpojumu pieejamība un kvalitāte, paredzot ieguldījumus ārstniecības iestāžu attīstībai visos aprūpes līmeņos, atbilstoši pakalpojumu kartējumam, veselības aprūpes pakalpojumu attīstībai pieejamiem cilvēkresursiem un finanšu resursiem, t.sk. nodrošinot ārstniecības iestāžu gatavību potenciālo sabiedrības veselības krīžu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ārstniecības iestāžu attīstībai visos līmeņos vērstas uz Eiropas Savienības padomes rekomendācijām Latvijai 2019. gadam veselības jomā un Sabiedrības veselības pamatnostādnēs 2021. – 2027. gadam paredzēto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4.1.1.1.pasākuma 2. kārtas ietvaros īstenotie projekti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tiks īstenota Eiropas Savienības Kohēzijas politikas programmas 2021. – 2027. gadam 4.1.1. specifiskā atbalsta mērķa "Nodrošināt vienlīdzīgu piekļuvi veselības aprūpei un stiprināt veselības sistēmu, tostarp primārās veselības aprūpes noturību" (turpmāk – SAM) 4.1.1.1. pasākuma "Ārstniecības iestāžu infrastruktūras attīstība" otrā kārta (turpmāk-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attiecināmais finansējums ir 15 089 807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12 826 335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2 263 472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Nr.2021/1060 18. un 86. pantā noteikto 4.1.1. SAM elastības finansējums tiek noteikts 4.1.1.2. pasākuma ietvaros, attiecīgi 4.1.1.2. pasākumam noteikts pieejamais un plānotais finansējums. Veselības ministrija kā atbildīgā iestāde (turpmāk – atbildīgā iestāde), pēc Eiropas Komisijas (turpmāk – EK) lēmuma par vidusposma pārskatu, var ierosināt palielināt 4.1.1.2. pasākumam pieejamo kopējo finansējumu līdz plānotajam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63"/>
        <w:gridCol w:w="3706"/>
        <w:gridCol w:w="1724"/>
        <w:gridCol w:w="2246"/>
        <w:tblGridChange w:id="0">
          <w:tblGrid>
            <w:gridCol w:w="1363"/>
            <w:gridCol w:w="3706"/>
            <w:gridCol w:w="1724"/>
            <w:gridCol w:w="224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 fondu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(ieskaitot elastības finansējumu),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 fondu finansējums </w:t>
            </w:r>
            <w:r w:rsidR="00000000" w:rsidRPr="00000000" w:rsidDel="00000000">
              <w:rPr>
                <w:sz w:val="24"/>
                <w:rtl w:val="0"/>
              </w:rPr>
              <w:t xml:space="preserve">(BEZ elastības finansējuma),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iestāžu infrastruktūras attīstība (1. - 5. 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163 345 800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163 345 800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P.Stradiņa klīniskās universitātes slimnīcas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70 799 482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31 119 533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Primārās veselības aprūpes lomas stiprināšana, attīstot infrastruktūru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Neatliekamās medicīniskās palīdzības dienesta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10 461 001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10 461 001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Finansējuma saņēmēji noteikti noteikumu pielikumā saskaņā ar Ministru kabineta 2018. gada 28. augusta noteikumiem Nr. 555 “Veselības aprūpes pakalpojumu organizēšanas un samaksas kārtība” (turpmāk - MK noteikumi Nr.555) un tās ir I-III līmeņa ārstniecības iestādes un pārējās slimnīcas, kā arī 2 specializētās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III līmeņa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“Madonas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“Cēsu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“Dobeles un apkārtnes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SIA “Jūrmalas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SIA “Ogres rajona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SIA “Balvu un Gulbenes slimnīcu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SIA “Kuldīgas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II līmeņa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SIA “Alūksnes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SIA “Preiļu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SIA “Tukuma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SIA “Krāslavas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 līmeņa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SIA “Līvānu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SIA “Aizkraukles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SIA “Bauskas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SIA “Limbažu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SIA “Ludzas medicīnas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Specializētās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SIA “Rīgas 2.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SIA “Siguldas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Pārējās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SIA “Saldus medicīnas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SIA “Priekules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atbalsts ir paredzēts stacionāro pakalpojumu ārstniecības iestādēm, kas sniedz arī ambulatoros pakalpojumus. Horizontāli noteikts, ka vismaz 30 procenti no investīciju apjoma ir ieguldāmi ambulatorās aprūpes pakalpojumu attīstībā. Tas atbilst Veselības ministrijas informatīvā ziņojuma “Par veselības aprūpes nodrošināšanas infrastruktūras attīstības investīciju stratēģiju 2021. - 2027. gadam” (https://vktap.mk.gov.lv/legal_acts/unstructured_documents?id=cc6af0e8-8d6b-44e6-afcb-94fb3b71ca3b) 57. punktā noteiktajam “ES fondu 2021. – 2027. gada plānošanas perioda 4.1.1. specifiskā atbalsta mērķa ”Nodrošināt vienlīdzīgu piekļuvi veselības aprūpei un stiprināt veselības sistēmu” ietvaros paredzētājām investīcijām stacionārajās ārstniecības iestādēs (I - V līmeņa, specializētās un pārējās slimnīcas) tiek noteikts, ka tieši ambulatoro pakalpojumu infrastruktūras attīstībai  novirzāmi 30 procenti no ieguldījumiem, izpildot rīcībpolitikas uzstādījumus. Attiecīgi, ja nosacījums netiek izpildīts, investīcijas novirzāmas sekundārās ambulatorās veselības aprūpes pakalpojumu sniedzēju ārpus slimnīcu loka infrastruktūras attīstībai. Nosacījumi atbalsta detalizācijai tiks noteikti specifiskā atbalsta mērķa īstenošanas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atbalstāma remontdarbu veikšana un medicīnisko iekārtu iegāde, lai attīstītu infrastruktūras, kas tiek izmantotas gan stacionāro, gan ambulatoro pakalpojumu sniegšanai. Attiecīgi- ir atbalstāmi ieguldījumi stacionārajā veselības aprūpē, attīstot tos profilus, kuri saskaņā ar MK noteikumiem Nr. 555 ir paredzēti katrai stacionārajai ārstniecības iestādei un atbilst MK noteikumu 28. punktā noteiktajiem atbalstāmajiem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III līmeņa ārstniecības iestādēm projekta finansējums var tikt ieguldīts infrastruktūras attīstībā sekundārās ambulatorās veselības aprūpes, tai skaitā rehabilitācijas, pakalpojumu nodrošināšanai, uzņemšanas nodaļu sniegto veselības aprūpes pakalpojumu nodrošināšanai, stacionārās veselības aprūpes, tai skaitā rehabilitācijas, pakalpojumu nodrošināšanai. Savukārt, lai gan III līmeņa iestādēm šādi profili ir noteikti MK noteikumos Nr. 555 un ir spēkā, tomēr šī Eiropas savienības fondu pasākuma atbalsta ietvaros nav paredzēts veikt ieguldījumus traumatoloģijas, grūtniecības un dzemdību aprūpes profilu attīstīšanā.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 un II līmeņa un specializētajām ārstniecības iestādēm  finansējums var tikt ieguldīts infrastruktūras attīstībā sekundārās ambulatorās veselības aprūpes pakalpojumu, tai skaitā rehabilitācijas, pakalpojumu nodrošināšanai, uzņemšanas nodaļu sniegto veselības aprūpes pakalpojumu nodrošināšanai, stacionārās veselības aprūpes pakalpojumu terapijas, hronisko pacientu aprūpes un aprūpes profilos, tai skaitā rehabilitācijas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pārējām slimnīcām atbalsts tiek ieguldīts tikai sekundārās ambulatorās veselības aprūpes pakalpojumu, tai skaitā rehabilitācijas, pakalpojumu nodrošināšanas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slimnīcu  attīstībā atbilst rīcībpolitikas uzstādījumiem, piemēram, ir saskaņā ar Veselības ministrijas “Informatīvais ziņojums par izmaiņām slimnīcu tīklā” (https://vktap.mk.gov.lv/legal_acts/legislation_case_documents/618c9802-becb-421d-b848-f3165c8b9832) ziņojumā noteiktajiem Veselības ministrijas stratēģiskajiem virzieniem  slimnīcu darbības organizācijas pilnveidē: aktualizē prasības slimnīcu darbības profiliem un to līmeņiem, iezīmē reģionālo slimnīcu sadarbības tīklus un nosaka to darbības principus, snieguma rādītāju uzraudzības sistēmas izveidi ar mērķi mērīt ārstniecības procesa kvalitāti pēc vienotiem rezultatīviem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ilgtspējīgus un saskaņotus pasākumus starp visiem plānotajiem finanšu atbalsta mehānismiem, 2022. gada 14. jūlijā Ministru kabinets ir apstiprinājis informatīvo ziņojumu “Par veselības aprūpes nodrošināšanas infrastruktūras attīstības investīciju stratēģiju 2021.-2027. gadam” protokollēmums Nr.36/105.§ (22-TA-1198) (https://tapportals.mk.gov.lv/legal_acts/c9e99f49-7a1e-42a6-8002-31b1cc66dc96) (turpmāk – infrastruktūras investīciju stratēģija), kurā atspoguļots veselības aprūpes pakalpojumu sniegšanas vietu kartējums visos aprūpes līmeņos un noteikti lielākie izaicinājumi galvenajiem veselības aprūpes pakalpojumu (infrastruktūras) attīstības virzieniem, kā arī noteikti secīgie virzības soļi.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iesnieguma vērtēšanas kritēriji 2023. gada 26.oktobrī tika apstiprināti ES Kohēzijas politikas fondu 2021. - 2027. gada plānošanas perioda Apakškomitejas sēdē un 2023. gada 5. decembrī apstiprināti ES Kohēzijas politikas fondu 2021. - 2027. gada plānošanas perioda Uzraudzības komitejas sēdē. 2024. gada 5. martā Uzraudzības komitejā pieņemts lēmums par vērtēšanas kritēriju grozījumu apstiprināšanu.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pieejamais finansējuma apmērs ārstniecības iestāžu infrastruktūras attīstībai ir vairākas reizes mazāks par faktiskajām vajadzībām, tika noteikts aktuālajai veselības nozares politikai atbilstošs finansējuma sadalījuma mehānisms, kurš vienlīdzīgi raksturo gan ārstniecības iestāžu noslodzi, gan iesaistes apmēru valsts apmaksāto veselības aprūpes pakalpojumu sniegšanā un dod iespēju attīstīt pakalpojumus atbilstoši ārstniecības iestādes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katram Finansējuma saņēmējam pieejamo plānoto attiecināmo finansējumu, par pamatu tika izmantoti Nacionālā veselības dienesta sniegtie dati par Finansējuma saņēmējiem 2022. gadā apmaksāto gultas dienu skaitu (70%) un veiktā sekundārā ambulatorā veselības aprūpes darba apjomu (30%), lai veicinātu pacientu ārstēšanu jau agrīnā slimību attīstības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prioritāri tiek atbalstītas augstāka līmeņa slimnīcas, kurām ir lielāka ietekme uz lielāku pacientu skaitu, kā arī kurās vairāk tiek nodrošināti tieši valsts apmaksātie veselības aprūpes pakalpojumi, papildus aprēķinā tika piemēroti sekojoši koeficienti: III līmeņa ārstniecības iestādēm 1.2, II līmeņa ārstniecības iestādēm 1.0, I līmeņa ārstniecības iestādēm 0.8, specializētajām ārstniecības iestādēm 0.6 un pārējām slimnīcām 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vērtēšanā paredzēti </w:t>
      </w:r>
      <w:r w:rsidR="00000000" w:rsidRPr="00000000" w:rsidDel="00000000">
        <w:rPr>
          <w:b w:val="1"/>
          <w:rtl w:val="0"/>
        </w:rPr>
        <w:t xml:space="preserve">specifiskie atbilstības kritēriji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iesniegums atbilst valsts atbalsta piešķiršanas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iesniegumā ir aprakstīts plānotais investīciju ieguldījuma apjoms ambulatorajā veselības aprūpē (vismaz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iesniegumā ir aprakstīti plānotie ieguldījumi infrastruktūras attīstībā, kurā tiek nodrošināti valsts apmaksāti veselības aprūpes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ir vērsts uz veselības aprūpes pakalpojumu pieejamības uzlabošanu projekta iesniedzēja apkalpes teritorijā un projekta aktivitāšu īstenošanas rezultātā plānots uzlabot veselības aprūpes pakalpojumu pieejamību visiem Latvijas iedzīvotājiem, jo īpaši sociālās, teritoriālās atstumtības un nabadzības riskam pakļautajiem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iesniegumā ir aprakstīts, kā finansējuma saņēmējs īstenos sekojošus sadarbības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vienotu veselības aprūpes pakalpojumu sniegšanas plānošanu un sniegšanu sadarbības teritorijā, pēc iespējas nedublējot sarežģīto veselības aprūpes pakalpojumu sniegšanu, nepieciešamības gadījumā pārvedot pacientus uz atbilstoša līmeņa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sadarbību ārstniecības personāla, infrastruktūras un tehnoloģiju plānošanā un izmantošanā, nodrošinot pacientam nepieciešamā  pakalpojuma  pieejamību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konsultatīvu sadarbību un zināšanu pārnesi. Klīniskās universitātes slimnīcas sniedz konsultācijas un, nepieciešamības gadījumā saskaņo veicamos ārstēšanas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sekmēt izmaksu efektīvu resursu izmantošanu – pacients saņem savām vajadzībām nepieciešamo ārstēšanu savlaicīgi, attiecīgajā vietā, ar atbilstošu tehnoloģisko nodrošinājumu un attiecīgā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iesniegumā ir aprakstīts iestādes iekšējās attīstības plāns, tai skaitā raksturota telpu un iekārtu izmantošanas optimizācija, nodrošinot sniedzamo pakalpojumu izmaksu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iesniegumā iekļautas darbības, kas paredz enerģijas ietaupījumu vai pāreju uz atjaunojamiem energoresursiem, vai pasākumus, kas kopumā vai daļēji ir aizstājami ar izmaksefektīviem, tehniski, ekonomiski un videi nekaitīgiem alternatīviem pasākumiem, un vienlīdz efektīvi nodrošina attiecīgo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iesniegumā ir paredzētas darbības, kas veicina principa “Nenodarīt būtisku kaitējumu”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Projektā ir paredzētas darbības,  kas veicina  horizontālā principa ”Vienlīdzība, iekļaušana, nediskriminācija un pamattiesību ievērošana”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Finansējuma saņēmējs nodrošina, ka iepirkumu, kas nepieciešams atbalstāmo darbību īstenošanai, finansējuma saņēmējs iespēju robežās veiks kā sociāli atbildīgu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ietvaros veicamiem iepirkumiem piemēro Ministru kabineta 2017.gada 20.jūnija noteikumos Nr.353 “Prasības zaļajam publiskajam iepirkumam un to piemērošanas kārtība” iekļautajām grupām noteiktos zaļā publiskā iepirkuma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izpilda nepieciešamās prasības horizontālā principa “Klimatdrošināšana” ievērošanai attiecībā uz klimata pārmaiņu mazināšanu un pielāgošanos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projektā paredzēts īstenot aktivitātes, kas nodrošina klimata pārmaiņu mazināšanu, tas ir, siltumnīcefekta gāzu emisiju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projektā tiek nodrošināta atbilstība pielāgošanās klimata pārmaiņām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specifiskā atbalsta mērķa ietvaros pārējām MK noteikumos Nr. 555 noteiktajām ārstniecības iestādēm, tiks noteikts atsevišķā regulējumā, ievērojot Nacionālajā attīstības plānā 2021. - 2027. gadam (https://www.pkc.gov.lv/sites/default/files/inline-files/NAP2027_apstiprin%C4%81ts%20Saeim%C4%81_1.pdf) un infrastruktūras investīciju stratēģijā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8"/>
        <w:gridCol w:w="6223"/>
        <w:gridCol w:w="2488"/>
        <w:tblGridChange w:id="0">
          <w:tblGrid>
            <w:gridCol w:w="478"/>
            <w:gridCol w:w="6223"/>
            <w:gridCol w:w="248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Infrastruktūras investīciju stratēģijā plānotais finansējums,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"Ārstniecības iestāžu infrastruktūras attīstība" 1 .- 5. kārta KOPĀ, t.sk.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192 171 532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1. kārta (V - VI līmeņa un Valsts tiesu medicīnas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82 767 751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2. kārta (I -III līmeņa un pārējās slimnīcas)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15 089 807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3. kārta (Psihiatrijas profila 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7 957 886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4. kārta (Sekundāro ambulatoro veselības aprūpes pakalpojumu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4 812 877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4. kārta (“divu periodu” projekti)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81 543 211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4.1.1.2. pasākums "P.Stradiņa klīniskās universitātes slimnīcas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83 293 509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4.1.1.3. pasākums "Primārās veselības aprūpes lomas stiprināšana, attīstot infrastruktūru"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8 200 000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 pasākums "Neatliekamās medicīniskās palīdzības dienesta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12 307 060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4.1.1. SAM ietvaros plānotais finansējums, izņemot 4.1.1.4.pasākumu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295 972 101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(Centrālā finanšu un līgumu aģentūra) pasākuma projektu iesniegumu atlases ietvaros organizē ierobežotas projektu iesniegumu atlases, uzaicinot tajā piedalīties šo noteikumu pielikumā minētos katra pasākuma projekta iesniedzējus.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mērķis </w:t>
      </w:r>
      <w:r w:rsidR="00000000" w:rsidRPr="00000000" w:rsidDel="00000000">
        <w:rPr>
          <w:rtl w:val="0"/>
        </w:rPr>
        <w:t xml:space="preserve">ir nodrošināt vienlīdzīgu piekļuvi veselības aprūpei un stiprināt veselības sistēmu, attīstot veselības aprūpes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mērķa grupa</w:t>
      </w:r>
      <w:r w:rsidR="00000000" w:rsidRPr="00000000" w:rsidDel="00000000">
        <w:rPr>
          <w:rtl w:val="0"/>
        </w:rPr>
        <w:t xml:space="preserve"> ir visi Latvijas iedzīvotāji, veselības aprūpes pakalpojumu sniedzēji, ministrijas padotības iestādes,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Sasniedzamie iznākuma un rezultāta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Specifiskā atbalsta mērķa iznākuma rādītājs ir “noslēgto līgumu īpatsvars par ieguldījumiem veselības aprūpes infrastruktūras objektos”, nodrošinot, ka līdz 2029. gada 31. decembrim noslēgti līgumi par projektu īstenošanu 100 procentu apmērā no specifiskā atbalsta mērķa pieejamā kopējā attiecināmā finansējuma, tai skaitā nodrošinot, ka līdz 2024. gada 31. decembrim pasākuma ietvaros noslēgti līgumi par projektu īstenošanu vismaz par 1 procentu.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Pasākums veicina 4.1.1.1. pasākuma “Ārstniecības iestāžu infrastruktūras attīstība” visu kārtu ietvaros kopējā iznākuma rādītāja "jaunu vai modernizētu veselības aprūpes iestāžu kapacitāte” sasniegšanu, nodrošinot, ka līdz 2029. gada 31. decembrim izveidotās vai uzlabotās veselības aprūpes iestādes vismaz vienu reizi gada laikā apmeklēs 3 687 497 iedzīvotāji, tai skaitā pasākuma ietvaros 1 081 157 personas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rezultāta rādītājs ir “personu skaits gadā, kuras izmanto jaunas vai modernizētas veselības aprūpes iestādes pakalpojumus”, nodrošinot, ka līdz 2029. gada 31. decembrim 982 870 personas gadā izmanto jaunas vai modernizētas veselības aprūpes iestādes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Savienības Kohēzijas politikas programmai 2021.–2027. gadam  pasākuma finansējuma sadalījums pa intervences kodiem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128 “Veselības aprūpes infrastruktūra” – ERAF finansējums 2 052 214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129 “Veselības aprūpes iekārtas” - ERAF finansējums 2 565 267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44 “Publiskās infrastruktūras atjaunošana energoefektivitātes uzlabošanai vai energoefektivitātes pasākumi, demonstrējuma projekti un atbalsta pasākumi” - ERAF finansējums 8 208 854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12 826 335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12 826 335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10 “Eiropas pusgadā apzināto problēmu risināšana” - ERAF finansējums 12 826 335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12 826 335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Investīcijām piemērojams Makroreģionālā un jūras baseinu stratēģijas kods 03 - Baltijas jūras reģiona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projektu iesniegumu atlases īsteno ierobežotas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atbildīgās iestādes funkcijas pilda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iesniedzējiem, komercdarbības atbalsts tiek sniegts saskaņā ar 2011. gada 20. decembra Komisijas lēmumu 2012/21/ES par Līguma par ES darbību 106. panta 2. punkta piemērošanu valsts atbalstam attiecībā uz kompensāciju par sabiedriskajiem pakalpojumiem dažiem uzņēmumiem, kuriem uzticēts sniegt pakalpojumus ar vispārēju tautsaimniecisku (turpmāk – VTNP) nozīmi (turpmāk – Eiropas Komisijas lēmums Nr. 2012/21/ES).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VTNP un Eiropas Komisijas lēmuma Nr.2012/21/ES galvenais deleģētājs ir Nacionālais veselības dienests (turpmāk – pilnvarojuma uzlicējs), kurš ministrijas vārdā slēdz līgumus par valsts apmaksāto veselības aprūpes VTNP pakalpojumu īstenošanu un nodrošina VTNP un Eiropas Komisijas lēmuma Nr.2012/21/ES prasību ievērošanu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atbilstoši normatīvajiem aktiem par veselības aprūpes organizēšanas un samaksas kārtību ir noslēdzis ar Nacionālo veselības dienestu deleģēšanas līgumu par valsts apmaksātajiem stacionārajiem un ambulatorajiem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komercdarbības atbalsta piešķiršanas dienu ir uzskatāma diena, kad sadarbības iestāde sniedz lēmumu  par projekta apstiprināšanu vai sniedz atzinumu par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Eiropas Komisijas lēmuma Nr.2012/21/ES nosacījumu ievērošanas kontroli un uzraudzību nodrošina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uzlicējam un finansējuma saņēmējam ir pienākums dokumentāciju par saņemto komercdarbības atbalstu glabāt 10 gadus no pilnvarojuma termiņa beigām, savukārt nozares ministrijai, kas nav pilnvarojuma uzlicējs, bet piešķir komercdarbības atbalstu saskaņā ar šīs nodaļas prasībām, ir pienākums dokumentāciju, kas saistīta ar komercdarbības atbalsta piešķiršanu, glabāt 10 gadus no komercdarbības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“Kārtība, kādā Eiropas Savienības fondu vadībā iesaistītās institūcijas nodrošina šo fondu ieviešanu 2021.–2027.gada plānošanas periodā” (22-TA-2143) protokollēmumā noteikto -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24.punktā noteiktajam Projekta iesniedzējs, kura projekta kopējās izmaksas, ieskaitot pievienotās vērtības nodokli, pārsniedz 1 000 000 </w:t>
      </w:r>
      <w:r w:rsidR="00000000" w:rsidRPr="00000000" w:rsidDel="00000000">
        <w:rPr>
          <w:i w:val="1"/>
          <w:rtl w:val="0"/>
        </w:rPr>
        <w:t xml:space="preserve">euro</w:t>
      </w:r>
      <w:r w:rsidR="00000000" w:rsidRPr="00000000" w:rsidDel="00000000">
        <w:rPr>
          <w:rtl w:val="0"/>
        </w:rPr>
        <w:t xml:space="preserve">, atbilstoši sadarbības iestādes izstrādātajiem metodiskajiem norādījumiem veic izmaksu un ieguvumu analīzi un pievieno to projekta iesniegumam. Veicot izmaksu un ieguvumu analīzi, projekta iesniedzējs nodrošina, ka aprēķinātā projekta ekonomiskā ienesīguma norma ir lielāka par sociālo diskonta likmi un projekta ekonomiskā neto pašreizējā vērtība ir lielāka par nulli.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pielikumā minēto informāciju, ka diviem finansējuma saņēmējiem (Saldus medicīnas centrs, Priekules slimnīca) kopējās projekta izmaksas būs mazākas par 200 000 euro un šajā pasākumā tiek piešķirts finansējuma saņēmējiem komercdarbības atbalsts, norādām, ka šajā pasākumā neizpildās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53. panta 2. punkta nosacījumi, kas paredz, ka projektos līdz 200 000 euro (ieskaitot) visām izmaksām jābūt segtām, piemērojot vienkāršotās izmaksas, izņemot darbības, kurām atbalsts kvalificējams kā komercdarbības (izņemot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atbalstāmo darbību  ietvaros ir attiecināmas ļoti dažādas gan ar būvniecību, gan tehnoloģiju iegādi, piegādi un montāžu saistītas izmaksas, kuras attiecināmas uz konkrētu ārstniecības iestādes infrastruktūras struktūrvienību, kā arī ārstniecības iestādes savā starpā atšķiras ar sniegto pakalpojumu apjomu, līmeni un ārstniecības profilu, nav iespējams izstrādāt un piemērot vienkāršotās izmaksas. Nākotnē, ja par būvniecību kompetentās iestādes sadarbībā ar sadarbības iestādi un / vai Finanšu ministriju izstrādās, piemēram, horizontālas vienas vienības izmaksas būvdarbiem, Veselības ministrija varētu izvērtēt šādu vienkāršoto izmaksu piemērošanas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atbalsts piešķirams tikai infrastruktūras, kurā tiek nodrošināti valsts apmaksātie veselības aprūpes pakalpojumi, attīstībai, tādejādi finansējuma saņēmējam ir pienākums aprēķināt infrastruktūras izmantošanas atbalstāmo darbību proporciju valsts apmaksāto veselības aprūpes pakalpojumu sniegšanai un citu darbību veikšanai (turpmāk - infrastruktūras izmantošanas proporcija) un piemērot to projekta kopējam finansējumam, nosakot publiskā un privātā finansējuma apmēru. Proporcionāli infrastruktūras izmantošanai citiem mērķiem (maksas pakalpojumiem) paredzēts piesaistīt pašu privāto līdzfinansējumu, kas ir brīvs no komercdarbības atbalsta, tādejādi nodrošinot godīgu konkurenci un neietekmējot tirgus dalībniekus, ar to, ka publiska nauda tiek dota ne tikai valsts apmaksātu (publisku) veselības aprūpes pakalpojumu sniegšanai, bet arī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izmantošanas proporcijas aprēķina metodiku izstrādā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izmantošanas proporcijas piemērošanu uzrauga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infrastruktūras izmantošanas proporciju iesniedz sadarbības iestādei iesniedzot projekta iesniegumu un iesniedzot projekta noslēguma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līguma par projekta īstenošanu noslēgšanas palielinās projekta publisko izmaksu maksimālais apmērs, atbalsta sniedzējs kopējās publiskās projekta attiecināmās izmaksas nepalielina. Finansējuma saņēmējs, iesniedzot projekta noslēguma maksājuma pieprasījumu, nodrošina, ka aprēķinātais projekta kopējais publisko izmaksu maksimālais apmērs atbilst piešķirtajam kopējam publisko izmaksu maksimālajam apmēram, palielinot šo noteikumu noteikto privāto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noslēgts līgums par projekta īstenošanu. Finansējuma saņēmējs avansa pieprasījumu sagatavo un sadarbības iestāde to apstiprina, ņemot vērā nosacījumu, ka plānotā avansa apmērs atbilst spējai to izlietot sešu mēnešu laikā saimnieciskā gada ietvaros. Finansējuma saņēmējam avansu var piešķirt līdz 30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atbalstāmas infrastruktūras, kurā tiek nodrošināta valsts apmaksāti veselības aprūpes pakalpojumi, attīstības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tehnoloģiju iegāde, piegāde un montāža;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un publicitātes pasākumu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“projekta vadības un īstenošanas nodrošināšana”</w:t>
      </w:r>
      <w:r w:rsidR="00000000" w:rsidRPr="00000000" w:rsidDel="00000000">
        <w:rPr>
          <w:rtl w:val="0"/>
        </w:rPr>
        <w:t xml:space="preserve"> ir attiecināmas finansējuma saņēmēja projekta vadības un īstenošanas personāla izmaksas, kas radušās uz darba līguma vai uzņēmuma līguma pamata, tai skaitā normatīvajos aktos nodarbinātības jomā noteiktās piemaksas un nodokļi,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projekta tiešās attiecināmās izmaksas ir līdz 5 000 000</w:t>
      </w:r>
      <w:r w:rsidR="00000000" w:rsidRPr="00000000" w:rsidDel="00000000">
        <w:rPr>
          <w:i w:val="1"/>
          <w:rtl w:val="0"/>
        </w:rPr>
        <w:t xml:space="preserve"> euro</w:t>
      </w:r>
      <w:r w:rsidR="00000000" w:rsidRPr="00000000" w:rsidDel="00000000">
        <w:rPr>
          <w:rtl w:val="0"/>
        </w:rPr>
        <w:t xml:space="preserve"> (ieskaitot), ierobežojumu aprēķina ar minimālo izmaksu bāzi 34 422 </w:t>
      </w:r>
      <w:r w:rsidR="00000000" w:rsidRPr="00000000" w:rsidDel="00000000">
        <w:rPr>
          <w:i w:val="1"/>
          <w:rtl w:val="0"/>
        </w:rPr>
        <w:t xml:space="preserve">euro</w:t>
      </w:r>
      <w:r w:rsidR="00000000" w:rsidRPr="00000000" w:rsidDel="00000000">
        <w:rPr>
          <w:rtl w:val="0"/>
        </w:rPr>
        <w:t xml:space="preserve"> gadā, pieskaitot 0,64 procenti no projekta tiešajām attiecināmajām izmaksām, bet neieskaitot projekta vadības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personāla iesaisti projektā nodrošina saskaņā ar daļlaika attiecināmības principu (attiecināms, ja izmaksas radušās uz darba līguma pamata), attiecināma ir ne mazāka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“būvniecība” </w:t>
      </w:r>
      <w:r w:rsidR="00000000" w:rsidRPr="00000000" w:rsidDel="00000000">
        <w:rPr>
          <w:rtl w:val="0"/>
        </w:rPr>
        <w:t xml:space="preserve">ietvaros ir attiecināmas būvprojekta minimālā sastāvā un būvprojekta izstrādes izmaksas, funkcionālā plānojuma un tehniskās specifikācijas izstrādes izmaksas, projekta ekspertīžu izmaksas, autoruzraudzības un būvuzraudzības izmaksas, vides un informācijas piekļūstamības ekspertu konsultāciju un būvniecības jomu regulējošos un normatīvajos aktos noteiktās attiecīgo būvspeciālistu obligātās apdrošināšanas izmaksas ar nosacījumu, ka tās nepārsniedz 10 procentus no projekta kopējām attiecināmajām izmaksām, un būvniecības izmaksas, tajā skaitā demontāžas izmaksas un izmaksas, kas saistītas ar objektu nodošanu ekspluatācijā – ir attiecināmas visas ar būvniecību saistītās izmaksas saskaņā ar Būvniecības likumu. Atbilstoši Būvniecības likumam būvdarbi ir - būvniecības procesa sastāvdaļa, darbi, kurus veic būvlaukumā vai būvē, lai radītu būvi, novietotu iepriekš izgatavotu būvi vai tās daļu, pārbūvētu, atjaunotu, restaurētu, iekonservētu, nojauktu būvi vai ierīkotu inženiertīklu. Savukārt būvniecība ir - visu veidu būvju projektēšana un būvdarbi. Būvniecības likuma 3. pants noteic - darbības jomu – proti, likumu piemēro jaunu būvju būvniecībai, kā arī esošu būvju pārbūvei, atjaunošanai, restaurācijai, nojaukšanai, novietošanai, lietošanas veida maiņai bez pārbūves un konservācijai.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lai īstenotu atbalstāmo darbību "būvniecība" 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Atbilstoši faktiskajai situācijai ārstniecības iestādes ir izvietotas uz nekustamajiem īpašumiem kas pieder pašam finansējuma saņēmējam, vai valstij, vai ir pašvaldības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“tehnoloģiju iegāde, piegāde un montāža”</w:t>
      </w:r>
      <w:r w:rsidR="00000000" w:rsidRPr="00000000" w:rsidDel="00000000">
        <w:rPr>
          <w:rtl w:val="0"/>
        </w:rPr>
        <w:t xml:space="preserve"> ietvaros ir attiecināmas ārstniecības procesam tieši nepieciešamo tehnoloģiju piegādes (t.sk. iegādes, piegādes un montāžas) izmaksas, proti medicīniskās tehnoloģijas, t.sk. iebūvējamās medicīniskās tehnoloģijas, iekārtas, ierīces, mēbeles, un aprīkojums, cits aprīkojums telpu funkcionalitātes nodrošināšanai, kā arī informācijas tehnoloģiju aprīkojums (piemēram, datori, printeri, rindu sistēmas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projektā, attiecinot medicīniskās tehnoloģijas, kuru vienas vienības piegādes izmaksas pārsniedz 20 000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(ar PVN), nepieciešams ministrijas saskaņojums. Ministrija izveido tehnoloģijas skaņošanas darba grupu un nosaka tās kārtību, tostarp par projekta ietvaros iegādājamajām iekārtām, kuru vienas vienības piegādes izmaksas nepārsniedz 20 000 </w:t>
      </w:r>
      <w:r w:rsidR="00000000" w:rsidRPr="00000000" w:rsidDel="00000000">
        <w:rPr>
          <w:i w:val="1"/>
          <w:rtl w:val="0"/>
        </w:rPr>
        <w:t xml:space="preserve">euro</w:t>
      </w:r>
      <w:r w:rsidR="00000000" w:rsidRPr="00000000" w:rsidDel="00000000">
        <w:rPr>
          <w:rtl w:val="0"/>
        </w:rPr>
        <w:t xml:space="preserve"> (ar PVN). Tehnoloģiju saskaņojums tiek veikts pēc tehnoloģijas atbilstības konkrēto valsts apmaksāto pakalpojumu sniegšanai atbilstoši ārstniecības iestādes līmenim vai pakalpojumu veidiem un apjomiem, tiek vērtēta cilvēkresursu pieejamība darbam ar konkrēto tehnoloģiju, tiek vērtēta atbilstība tehnoloģiju kartējumam atbilstoši ar Veselības ministrijas 2020.gada 9.janvāra rīkojumu Nr.5 izveidotās darba grupas “Darba grupas medicīnisko ierīču racionāla ģeogrāfiskā izvietojuma noteikšanai un pieejamības uzlabošanai” ziņojumā minēto tehnoloģiju izvērtējumu. Saskaņojums vajadzīgs tehnoloģijas attiecināmības brīdī. Respektīvi pie projekta iesnieguma tehnoloģiju saskaņojums var arī vēl nebūt. Projekta iesniedzējs norāda projektā, ka tādu tehnoloģiju plānots iegādāties, savukārt brīdī, kad zināmi tehnoloģijas parametri, tas var skaņot tehnoloģiju komisijā, attiecīgi, ja saskaņojums veikts, var tikt attiecināts uz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“informācijas un publicitātes pasākumu nodrošināšana” </w:t>
      </w:r>
      <w:r w:rsidR="00000000" w:rsidRPr="00000000" w:rsidDel="00000000">
        <w:rPr>
          <w:rtl w:val="0"/>
        </w:rPr>
        <w:t xml:space="preserve">ietvaros ir attiecināmas informācijas un publicitātes nodrošināšanas izmaksas atbilstoši regulas Nr.2021/1060 47. un 50. pantā noteiktajām prasībām, kā arī atbilstoši normatīvajiem aktiem par ES fondu ieviešanu 2021. – 2027. gada plānošanas periodā, kā arī ievēro saistītās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atbalstāmo darbību īstenošanai ir attiecināmas neparedzētās izmaksas līdz diviem procentiem no projekta kopējām tiešajām attiecināmajām izmaksām. Neparedzētās izmaksas ir izmaksas par papildu darbu vai pakalpojumu veikšanu, kas neparedzamu apstākļu dēļ ir kļuvušas nepieciešamas, lai varētu nodrošināt par projekta īstenošanu noslēgto līgumu izpildi, ja finansējuma saņēmējs veicis visus plānošanas pasākumus, lai šādus apstākļus novērstu. Pasākuma ietvaros paredzēts atbalsts esošu ēku atjaunošanai vai pārbūvei, pielāgojot tās veselības aprūpes pakalpojuma sniegšanai iedzīvotājiem. Neparedzēto izmaksu faktiskai izmantošanai finansējuma saņēmējs sadarbības iestādē iesniegs pamatojumu, kuru sadarbības iestāde detalizēti izvērtēs.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Izdevumi ir attiecināmi nolūkā saņemt iemaksas no fondiem, ja tie saņēmējam vai PPP darbības privātā sektora partnerim radušies un apmaksāti darbību īstenošanas gaitā laikposmā no dienas, kad programma iesniegta Komisijai, vai no 2021. gada 1. janvāra – atkarībā no tā, kurš no minētajiem datumiem ir agrāk, –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izmaksas ir attiecināmas, ja tās atbilst šajos noteikumos minētajām izmaksu pozīcijām un tās ir radušās ne agrāk par 2021. gada 1.janvāri. Atbalstam infrastruktūras uzlabošanai ārstniecības iestādēs noteikts izdevumu attiecināmības termiņš pirms līgumu par projekta parakstīšanas, jo atbalsts plānots ierobežotas projektu iesniegumu atlases ietvaros ārstniecības iestādēm, kas nodrošina valsts apmaksātu veselības aprūpes pakalpojumu sniegšanu, attiecīgi investīciju kavējums var apdraudēt veselības aprūpes pakalpojumu sniegšanu nepietiekamas infrastruktūras dēļ. Tādejādi, izvērtējot visus riskus, ERAF atbalstam tiek piemērots nosacījums, ka investīcijas var uzsākt ātrāk nekā atbalsts piešķirts. Papildus atbalsts tiek sniegts konkrēta līmeņa ārstniecības iestādei atbilstoši MK noteikumiem Nr. 555, līdz ar to nav riska, ka varētu tikt ieguldīts neatbilstoši, tāpat tehnoloģiju iegādes tiek saskaņotas ar Veselības ministriju. Šāda pieeja veicina veselības aprūpes kvalitāti un pieejamību, kā arī nodrošina ES fondu N+3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neiekļauj darbības, kas ir pabeigtas līguma par projekta īstenošanu noslēgšanas brīdī (t.i., piemēram, būvdarbi nedrīkst būt nodoti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vērtēšanas komisijā sadarbības iestāde iekļauj arī pārstāvi no Veselības ministrijas kā vadošās valsts pārvaldes iestādes veselības nozarē un Nacionālā veselības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ka atbilstoši Eiropas Parlamenta un Padomes 2020. gada 18. jūnija Regulas (ES) 2020/852 par regulējuma izveidi ilgtspējīgu ieguldījumu veicināšanai un ar kuru groza Regulu (ES) 2019/2088, 17. panta prasībām nodrošina, ka tiek ievēroti nacionālos normatīvos aktos noteiktie principa “Nenodarīt būtisku kaitējumu” vides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klimata pārmaiņu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 radīs ievērojamas siltumnīcefekta gāzes (turpmāk –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SEG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neradīs ievērojamas SEG emisijas, ņemot vērā, ka SAM ietvaros plānota ārstniecības iestāžu infrastruktūras attīstība, kam būs nebūtiska ietekme uz SEG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infrastruktūras attīstība atbilstoši mūsdienu prasībām, tad plānots, ka ēkas un iekārtas tiks uzlabotas (vai daļa iekārtu aizstātas ar jaunām), tad daļā gadījumu iespējama arī pozitīva ietekme uz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atbalstīt teritorijas labiekārtošanas darbus, piemēram, koku stādīšanu, apzaļumošanu, tādējādi veicinot CO2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nulles alternatīvas, t.i., nav iespējams neveikt investīcijas veselības aprūpes infrastruktūras attīstības pasākumus, jo tādējādi tiktu apdraudēta veselības aprūpes pakalpojumu pieejamība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Papildinoši pasākumi un investīcijas ar SEG emisiju samazinošu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Papildinošas investīcijas digitālajā veselībā, kas samazinās pārvietošanās nepieciešamību (klātienes apmeklējumus) un papīra izmantošanu, ir arī darbības programmas 2021. - 2027. gada plānošanas perioda ietvaros, paredzot investīcijas e-pakalpojumu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 izraisīs pašreizējā klimata un gaidāmā nākotnes klimata negatīvās ietekmes palielināšanos uz pašu pasākumu vai uz cilvēku, dabu vai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kvalitatīvu un izmaksu efektīvu integrētu veselības aprūpes pakalpojumu pieejamībai un veselības aprūpes sistēmas gatavībai pakalpojumu nodrošināšanai epidemioloģiskajās krīzēs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jo pasākumi nav saistīti ar klimata pārmaiņu radīto potenciālo risku radīšanu, kā arī uzlabojot novecojošo infrastruktūru, tiks netieši mazināta klimatu pārmaiņu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ilgtspējīga ūdens un jūras resursu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 kaitēs: (i) ūdensobjektu labam stāvoklim vai to labam ekoloģiskajam potenciālam, ieskaitot virszemes ūdeņus un gruntsūdeņus; vai (ii) jūras ūdeņu labam vides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būtiskas ietekmes, jo netiek īstenoti pasākumi ūdensobjektu ietekmēšanai.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pāreja uz aprites ekonomiku</w:t>
      </w:r>
      <w:r w:rsidR="00000000" w:rsidRPr="00000000" w:rsidDel="00000000">
        <w:rPr>
          <w:rtl w:val="0"/>
        </w:rPr>
        <w:t xml:space="preserve">, ieskaitot atkritumu rašanās novēršanu un to reciklēšanu: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 (i) būtiski palielinās atkritumu rašanos, incinerāciju vai apglabāšanu, izņemot nepārstrādājamu bīstamo atkritumu incinerāciju; vai (ii) dabas resursu tiešā vai netiešā izmantošanā jebkurā to aprites cikla posmā radīs būtisku neefektivitāti, kas netiek samazināta līdz minimumam ar atbilstošiem pasākumiem; vai (iii) radīs būtisku un ilgtermiņa kaitējumu videi attiecībā uz aprites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būtiskas ietekmes,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īstenošanā iespēju robežās tiks veicināta zaļā publiskā iepirkuma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atkritumu apstrāde atbilstoši normatīvo aktu prasībām un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piesārņojuma novēršana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 ievērojami palielinās piesārņotāju emisijas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plānojot jau esošo ārstniecības iestāžu attīstību nav paredzams, ka pasākums būtiski palielinās piesārņotāju emisijas gaisā, pasākuma ietvaros tiek plānots atbalstīt teritorijas labiekārtošanas darbus, tostarp apzaļumošanu un koku stādīšanu, tādējādi nodrošinot zaļu un ilgtspējīgas vides mērķu sasniegšanu. Apstādījumi mazina gaisa temperatūru un palīdz gaisa temperatūras svārstības padarīt mērenākas. Turklāt apstādījumu teritorijās ir vērojamas daudz mazākas temperatūras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būtiski kaitēs ekosistēmu labam stāvoklim un noturībai; vai (ii) kaitēs dzīvotņu un sugu, tostarp Savienības nozīmes dzīvotņu un sugu, aizsardzības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paredzama būtiska ietekme, jo plānots, ka projekti tikt veikti jau esošajā ārstniecības iestāžu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finansējuma saņēmējs nodrošina horizontālā principa "Vienlīdzība, iekļaušana, nediskriminācija un pamattiesību ievērošana" īstenošanu un uzkrāj datus par šādiem horizontālā principa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objektu skaits, kuros ERAF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veikto vides un informācijas piekļūstamības pašnovērtējumu skaits, atbilstoši Labklājības ministrijas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projektā netiek plānotas ar būvniecību saistītās darbības, finansējuma saņēmējam nav pienākums uzkrāt  datus par projekta ietekmi uz horizontālā principa  “Vienlīdzība, iekļaušana, nediskriminācija un pamattiesību ievērošana”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objektu skaitu, kuros ERAF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veikto vides un informācijas piekļūstamības pašnovērtējumu skaits, atbilstoši Labklājības ministrijas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finansējuma saņēmējs uzkrāj datus par faktiski sasniegto šo noteikumu 10. punktā minēto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pārējo rādītāju datu uzkrāšanu un ziņošanu Kohēzijas politikas fondu vadības informācijas sistēmā (turpmāk – KPVIS), norādām, ka šo rādītāju aktuālās vērtības netiks uzkrātas atsevišķi katrā šī pasākuma projektā, bet būs manuāli aprēķināti, apkopoti un ievadīti KPVIS. Rādītāju uzskaiti un aktuālo datu ievadi nodrošinās atbildīgā iestāde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jānodrošina, ka atbalsts ne mazāk kā 30 procentu apmērā tiek ieguldīts infrastruktūras attīstībai, kurā tiek nodrošināti sekundārie ambulatorie veselības aprūpes pakalpojumi. Lai mazinātu administratīvo slogu, paredzēts, ka prasība ir jānodrošina uz projekta apstiprināšanas un līguma par projekta īstenošanu noslēgšanas brīdi. Gadījumā, ja šī prasība tiktu uzraudzīta projekta īstenošanas laikā vai līdz noslēguma maksājuma veikšanai varētu rasties situācijas, kad piemēram, mainoties iepirkuma cenām vai atsevišķām projekta darbībām, kuras neietekmē projekta sākotnēji plānotos ieguldījumus projektā izvirzīto mērķu sasniegšanai, būtu mākslīgi jāplāno jaunas darbības projektā, tāpat varētu tikt piemērota finanšu korekcija par prasības neizpildi utml. Tāpat arī Veselības ministrijas pārstāvji piedalās būtisku projektu grozījumu izvērtēšanas procesā, kur nepieciešamības gadījumā var paust viedokli par ierosinātajām izmaiņām projektā, tādējādi samazinot riskus un nodrošinot prasības izpildi attiecībā uz sekundāro ambulatoro pakalpojumu attīstību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pārliecināties, ka ārstniecības iestādes plānotie ieguldījumi ambulatorajā veselības aprūpē finansiālā izteiksmē būs vismaz 30 procenti, iesniedzot projekta iesniegumu, tajā jāiekļauj plānotā investīciju ieguldījuma apjoma sadalījums, apraksts, norādot, cik procenti no ārstniecības iestādes plānotajiem ieguldījumiem tiks investēti ambulatorās un cik stacionārās veselības aprūpes pakalpojumu attīstībā. Piemēram, procentuālo attiecību paskaidrojot finanšu, investīciju, laika vai platības izteiksmē, jo, balstoties uz Valdības rīcības plāna (apstiprināts ar Ministru kabineta 2024. gada 20. janvāra rīkojumu Nr. 55 “Par Valdības rīcības plānu Deklarācijas par Evikas Siliņas vadītā Ministru kabineta iecerēto darbību īstenošanai”) 35.4. pasākuma “Lai mazinātu administratīvu birokrātiju un pilnveidotu risku pārvaldību ESIF projektu ieviešanā, izvērtēta efektīva un vienlaikus no drošas finanšu vadības viedokļa līdzsvarota pašdeklarācijas principa ieviešana ESIF projektu pārvaldībā” Veselības ministrija paļaujas uz finansējuma saņēmēja un tā sadarbības partneru iesniegtās informācijas atbilstību plānotajam un faktiskajam ieguldījuma apjoma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izstrādājot nosacījumus, kā tas pārliecinās par interešu konflikta, krāpšanas un korupcijas risku neesamību,  izvērtēs, pielāgos un ietvers prasības atbilstoši Ministru kabineta 2017. gada 17. oktobra noteikumos Nr. 630 "Noteikumi par iekšējās kontroles sistēmas pamatprasībām korupcijas un interešu konflikta riska novēršanai publiskas personas institūcijā" noteiktajam. Papildus, iekšējās kārtības izstrādē tiks izmantotas Korupcijas novēršanas un apkarošanas biroja 2018. gadā izstrādātās vadlīnijas “Vadlīnijas par iekšējās kontroles sistēmas pamatprasībām korupcijas un interešu konflikta riska novēršanai publiskas personas institūcijā” (pieejamas: https://www.knab.gov.lv/lv/informativie-un-metodiskie-materiali).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projektu īsteno saskaņā ar līgumu par projekta īstenošanu, kas noslēgta starp finansējuma saņēmēju un sadarbības iestādi,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demarkācija un papildinātība ar citiem finanšu instrumentiem, piemēram, ar Atveseļošanas un noturības mehānisma plāna 4.1.1.3.i. investīciju "Atbalsts sekundāro ambulatoro pakalpojumu sniedzēju veselības aprūpes infrastruktūras stiprināšanai, lai nodrošinātu visaptverošu ilgtspējīgu integrētu veselības pakalpojumu, mazinātu infekciju slimību izplatību, epidemioloģisko prasību nodrošināšanā", ar ES fondu 2014. - 2020. gada plānošanas perioda ERAF atbalsta piešķīruma projektiem. Lai novērstu demarkāciju un dubulto finansējumu, demarkācija veselības jomas investīcijām tiek nodrošināta trijos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Stratēģiskās plānošanas līmenī (Sabiedrības veselības pamatnostādnēs 2021. - 2027. gadam un specifiskajos veselības jomas apakšnozaru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plānošanas līmenī (veselības nozares infrastruktūras investīciju stratēģijā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Operacionālajā līmenī (projektu vērtēšanas posmā, t.sk. paredzot attiecīgus projektu iesniegumu vērtēšanas kritērijus darbības programmas projektiem, kā arī nodrošinot visu investīciju augsto tehnoloģiju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publiskajām investīcijām veselības jomā ir savstarpēji papildinoša ietekme, proti Atveseļošanas un noturības mehānisma plāna ietvaros paredzēts finansējums, lai stiprinātu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 savukārt ES fondu ieguldījumi 2021. - 2027. gada plānošanas periodā paredzēti pakalpojumu pieejamības un efektivitātes uzlabošanai veselības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īstenotās investīcijas uzlabos sabiedrības pieejamību veselības aprūpes pakalpojumiem, veselības aprūpes pakalpojumu kvalitāti un Latvijas iedzīvotāju veselību, pagarinot labā veselībā nodzīvoto mūžu, novēršot priekšlaicīgu mirstību un mazinot nevienlīdzību veselības jomā. Veicot investīcijas infrastruktūras uzlabošanā, tiek veicināta ilgtspējīga pakalpojumu sniegšana, veselības aprūpes sistēmas efektivitāte, pacientu drošība, pakalpojumu kvalitāte un pacientu medicīniskās aprūpes pēctecība un pieejamība. Pasākuma ietvaros īstenotās investīcijas ļaus attīstīt slimnīcu pakalpojumus, izveidot mūsdienīgu veselības aprūpes vidi un iedzīvotāju piekļuvi uzlabotiem ārstniecības pakalpojumiem Rīgā un reģionos, tuvāk pacientu dzīves vietai, veicinot slimnīcu visaptverošu veselības aprūpes nodrošināšanu, uz pacientu vajadzībām orientētu aprūpi, lai slimnīcu teritorijā esošā infrastruktūra atbilstu mūsdienu higiēnas, sanitārajām un drošības prasībām. Investīcijas tiek sniegtas reģionālajām slimnīcām un specializētajām slimnīcām, tādējādi nodrošinot visa spektra veselības aprūpes pakalpojumus Latvijas iedzīvotājiem. Tāpat pasākuma ietvaros paredzētie pasākumi vienlaicīgi veicinās arī Eiropas Savienības stratēģijā Baltijas jūras reģionam (ESSBJR) apakšmērķa “celt labklājību”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plānoto 4.1.1.1. pasākuma 2 kārtas ietekmi uz tautsaimniecību, t.sk. norādot pēc iespējas izmērāmus faktiski sagaidāmos rezultātus/ rādītājus, skaidrojam, ka pasākuma ietvaros īstenotās investīcijas ir vērstas uz Latvijas Nacionālajā attīstības plānā 2021. – 2027.gadam noteiktajiem mērķiem, proti   sabiedrības veselības politikas rezultatīvo rādītāju sasniegšanu, atbilstoši - profilaktiski novēršamās un medicīniski novēršamās mirstības samazināšanu.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32"/>
        <w:gridCol w:w="2334"/>
        <w:gridCol w:w="2235"/>
        <w:gridCol w:w="2038"/>
        <w:tblGridChange w:id="0">
          <w:tblGrid>
            <w:gridCol w:w="2432"/>
            <w:gridCol w:w="2334"/>
            <w:gridCol w:w="2235"/>
            <w:gridCol w:w="203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Rezultatīvais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Profilaktiski novēršamā mirstība uz 100 000 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(avots: Slimību profilakses un kontroles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Medicīniski novēršamā mirstība uz 100 000 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(avots: Slimību profilakses un kontroles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 (2018)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plānots Darbības programmas 4. prioritātes “Sociālās iekļaušanas veicināšana” ietvaros, kas investīcijas pienesumu tautsaimniecībai atspoguļo kā sociālekonomisku ieguvumu, respektīvi, uzlabojot valsts apmaksātu veselības aprūpes pakalpojumu sniegšanas infrastruktūru, tiek nodrošināta savlaicīga, kvalitatīva un efektīva veselības aprūpe. Tas savukārt rada ietekmi uz tautsaimniecību, proti cilvēks mazāk slimo, ātrāk atveseļojas, samazinās invaliditātes iestāšanās risks, tiek pagarināts mūža ilgums un darbspējas vecums, kas atgriežas valsts budžetā ar nodokļu ieņēmumiem, un tiek samazināti nodokļu izdevumi par sarežģītām un nesavlaicīgi diagnosticētām kaitēm, slimības pabalstiem. Papildus skaidrojam, ka saskaņā ar MK noteikumu 24. punktu, projekta iesniedzējam, iesniedzot projektam iesniegumu, ir jāveic izmaksu un ieguvumu analīze, kas konkrētā projekta gadījumā atspoguļo ietekmi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pildīs finansējuma saņēmēju funkcijas, un Veselības ministrija pildīs atbildīgās iestādes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234 253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6 305 129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2 763 421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1 798 997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234 253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6 305 129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2 763 421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1 798 997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275 592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7 417 799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3 251 084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2 116 467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275 592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7 417 799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3 251 084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2 116 467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-1 112 670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-317 470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-1 112 670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-317 470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-1 112 670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-317 470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-1 112 670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-317 470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plānotais un pieejamais kopējais finansējums ir 15 089 807 </w:t>
            </w:r>
            <w:r w:rsidR="00000000" w:rsidRPr="00000000" w:rsidDel="00000000">
              <w:rPr>
                <w:sz w:val="24"/>
                <w:i w:val="1"/>
                <w:rtl w:val="0"/>
              </w:rPr>
              <w:t xml:space="preserve">euro</w:t>
            </w:r>
            <w:r w:rsidR="00000000" w:rsidRPr="00000000" w:rsidDel="00000000">
              <w:rPr>
                <w:sz w:val="24"/>
                <w:rtl w:val="0"/>
              </w:rPr>
              <w:t xml:space="preserve">, tai skaitā Eiropas Reģionālās attīstības fonda finansējums ir 12 826 335 </w:t>
            </w:r>
            <w:r w:rsidR="00000000" w:rsidRPr="00000000" w:rsidDel="00000000">
              <w:rPr>
                <w:sz w:val="24"/>
                <w:i w:val="1"/>
                <w:rtl w:val="0"/>
              </w:rPr>
              <w:t xml:space="preserve">euro</w:t>
            </w:r>
            <w:r w:rsidR="00000000" w:rsidRPr="00000000" w:rsidDel="00000000">
              <w:rPr>
                <w:sz w:val="24"/>
                <w:rtl w:val="0"/>
              </w:rPr>
              <w:t xml:space="preserve"> un nacionālais finansējums, kas iekļauj valsts budžeta un privāto finansējumu, ir 2 263 472 </w:t>
            </w:r>
            <w:r w:rsidR="00000000" w:rsidRPr="00000000" w:rsidDel="00000000">
              <w:rPr>
                <w:sz w:val="24"/>
                <w:i w:val="1"/>
                <w:rtl w:val="0"/>
              </w:rPr>
              <w:t xml:space="preserve">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tiks plānots Finanšu ministrijas budžeta apakšprogrammā 62.10.00 “Eiropas Reģionālās attīstības fonda (ERAF) avansa maksājumi un atmaksas finansējuma saņēmējiem (2021-2027)” kā avansi un atmaksa finansējuma saņēmējiem par ERAF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no projekta attiecināmajām izmaksām. Visus minētos pasākumus plānots ieviest līdz 2029. gada 31. decembrim, tai skaitā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99"/>
              <w:gridCol w:w="973"/>
              <w:gridCol w:w="947"/>
              <w:gridCol w:w="908"/>
              <w:gridCol w:w="882"/>
              <w:gridCol w:w="844"/>
              <w:gridCol w:w="792"/>
              <w:gridCol w:w="702"/>
              <w:tblGridChange w:id="0">
                <w:tblGrid>
                  <w:gridCol w:w="999"/>
                  <w:gridCol w:w="973"/>
                  <w:gridCol w:w="947"/>
                  <w:gridCol w:w="908"/>
                  <w:gridCol w:w="882"/>
                  <w:gridCol w:w="844"/>
                  <w:gridCol w:w="792"/>
                  <w:gridCol w:w="70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 g.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4.1.1.1. II 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275 592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7 417 799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3 251 084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2 116 467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1 489 685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539 180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15 089 807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ERAF,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234 253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6 305 129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2 763 421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1 798 997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1 266 232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458 303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12 826 335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nacionālais fin.,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41 339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1 112 670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487 663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317 470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223 453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80 877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2 263 472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valsts budžeta līdzfinansējums un Eiropas Reģionālās attīstības fonda finansējums normatīvajos aktos noteiktajā kārtībā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32012D0021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2012/21/ES: Komisijas Lēmums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2020/852 (2020. gada 18. jūnijs) par regulējuma izveidi ilgtspējīgu ieguldījumu veicināšanai un ar ko groza Regulu (ES) 2019/2088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2012/21/ES: Komisijas Lēmums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 106.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14.7.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64. 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44.7.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2020/852 (2020. gada 18. jūnijs) par regulējuma izveidi ilgtspējīgu ieguldījumu veicināšanai un ar ko groza Regulu (ES) 2019/2088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Regulas 2020/852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44.7.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Latvijas Pašvaldību savienība, Veselības aprūpes darba devēju asociācija, Latvijas slimnīcu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25. augusta noteikumu Nr. 970 "Sabiedrības līdzdalības kārtība attīstības plānošanas procesā" 5. punktu un to, ka MK noteikumu projekts nemaina esošo regulējumu un neparedz ieviest jaunas politiskās iniciatīvas, sabiedrības līdzdalība tika nodrošināta ar Ministru kabineta 2022. gada 26.maija rīkojumu Nr. 359 "Sabiedrības veselības pamatnostādnes 2021. – 2027. gadam" apstiprināto Sabiedrības veselības pamatnostādņu 2021. – 2027. gadam un Eiropas Savienības kohēzijas politikas programmas 2021. – 2027. gadam skaņošanas procesā un ES fondu uzraudzības komitejā un ES fondu apakškomitejā.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un viedokļu sniegšanai tiesību akta projekts tika nosūtīts nevalstiskajām organizācijām - Latvijas Pašvaldību savienībai, Latvijas Lielo pilsētu asociācijai, Latvijas slimnīcu biedrībai un Veselības aprūpes darba devēju asociācijai.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Pašvaldību savienības 03.04.2024. Tiesību aktu projektu portālā tika saņemts atzinums bez iebildumiem un priekšlikumiem.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nodrošina, ka projekts izpilda nepieciešamās prasības principa “Nenodarīt būtisku kaitējumu” ievērošanai.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pieejams atbalsts ārstniecības iestāžu infrastruktūras stiprināšanai, tostarp veselības aprūpes pakalpojumu fiziskās vides piekļūstamības (tajā skaitā, lai nodrošinātu piekļuvi personām ar funkcionāliem traucējumiem) uzlabošanai. Finansējuma saņēmējs nodrošinās, ka iepirkumu, kas nepieciešams atbalstāmo darbību īstenošanai, finansējuma saņēmējs iespēju robežās veiks kā sociāli atbildīgu iepirkumu,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segregāciju/izolāciju, piemēram, personu ar invaliditāti un migrantu izcelsmes personu segregāciju/izolāciju.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ietvaros tiks īstenotas darbības, kas veicina personu ar invaliditāti vienlīdzīgām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ka informācija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komunikācijas aktivitātes, tiks izvēlēta valoda un vizuālie tēli, kas mazina diskrimināciju un stereotipu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-projektēšanas laikā un pirms objekta nodošanas ekspluatācijā publiskajai infrastruktūrai tiks veikts vides un informācijas piekļūstamības pašnovērtējums un iegūto punktu skaits nav zemāks par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būves dizainu, tiks ņemts vērā daudzveidības un iekļaušanas princips, balstoties uz cilvēku ar invaliditāti, tsk. bērnu,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būvnormatīvā LBN 200-21 noteiktajam, projekta ietvaros tiks īstenotas labās prakses darbības, kas īpaši veicina vides piekļūstamību cilvēkiem ar funkcionāliem traucējumiem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 atbilstības kritēriju par horizontālā principa “Vienlīdzība, iekļaušana, nediskriminācija un pamattiesību ievērošana” ievērošanu, kura ietvaros tiek vērtēts, vai projekta iesniedzējam projektā tiek paredzētas vispārīgas un vismaz trīs specifiskās horizontālo principu darbības, un divi horizontālo principu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-sievietēm un vīriešiem tiks nodrošināta vienāda samaksa par vienādas vērtības darbu (t.sk. piemērota vienlīdzīgas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komunikācijas aktivitātes, tiks izvēlēta valoda un vizuālie tēli, kas mazina diskrimināciju un stereotipu veidošanos.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investīcijas ārstniecības iestāžu infrastruktūras stiprināšanai, tiks uzlabota veselības aprūpes pakalpojumu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horizontālajiem principiem “Vienlīdzība, iekļaušana, nediskriminācija un pamattiesību ievērošana”, “Klimatdrošināšana”, “Energoefektivitāte pirmajā vietā”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tiks īstenots ierobežotas projektu iesniegumu atlases veidā. Projektu iesniegumu vērtēšanā tiks piemērots horizontālā principa “Vienlīdzība, iekļaušana, nediskriminācija un pamattiesību ievērošana”  specifiskais atbilstības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finansējuma saņēmējs uzkrāj datus par projekta ietekmi uz horizontālo principu “Vienlīdzība, iekļaušana, nediskriminācija un pamattiesību ievērošana”,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objektu skaitu, kuros ERAF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veikto vides un informācijas piekļūstamības pašnovērtējumu skaits, atbilstoši LM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vērtēšanā tiks piemērots kvalitātes rādītājs horizontālajam principam “Vienlīdzība, iekļaušana, nediskriminācija un pamattiesību ievērošana”, kura izpilde vērtēšanā dod projektam papildu punktus, kas veicinās tādu projektu atlasi, kuri sniegs ieguldījumu horizontālā principa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atbalstāmo darbību īstenošanai nepieciešams veikt iepirkumu, finansējuma saņēmējs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 izolāciju, piemēram, personu ar invaliditāti un migrantu izcelsmes personu segregāciju/ izolāciju.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ieguldījumi veicinās Bauhaus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finansējuma saņēmējs var plānot arī inovatīvu iepirkumu.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23-TA-2551</w:t>
    </w:r>
    <w:r>
      <w:br/>
    </w:r>
    <w:r w:rsidR="00000000" w:rsidRPr="00000000" w:rsidDel="00000000">
      <w:rPr>
        <w:rtl w:val="0"/>
      </w:rPr>
      <w:t xml:space="preserve">Izdrukāts 29.07.2026. 22.31 - 3.0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23-TA-2551</w:t>
    </w:r>
    <w:r>
      <w:br/>
    </w:r>
    <w:r w:rsidR="00000000" w:rsidRPr="00000000" w:rsidDel="00000000">
      <w:rPr>
        <w:rtl w:val="0"/>
      </w:rPr>
      <w:t xml:space="preserve">Izdrukāts 29.07.2026. 22.31 - 3.0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anotācija_(ex_ante)_23-TA-2551.docx</dc:title>
</cp:coreProperties>
</file>

<file path=docProps/custom.xml><?xml version="1.0" encoding="utf-8"?>
<Properties xmlns="http://schemas.openxmlformats.org/officeDocument/2006/custom-properties" xmlns:vt="http://schemas.openxmlformats.org/officeDocument/2006/docPropsVTypes"/>
</file>