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Gada pārskatu un konsolidēto gada pārskatu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(turpmāk – Direktīva (ES) 2026/470).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Direktīvas (ES) 2026/470 prasību pārņemšanu Gada pārskatu un konsolidēto gada pārskatu likumā  (turpmāk - GPKGPL) tādā apjomā, kādā tās attiecas uz šā likuma regulējuma tvērumu. Ilgtspējas informācijas atklāšanas jomas pamattiesiskais regulējums ir noteikts Ilgtspējas informācijas atklāšanas likumā, savukārt ar šo likumprojektu GPKGPL tiek veikti tikai tie grozījumi, kas nepieciešami abu likumu savstarpējai saskaņotībai un vienotai Direktīvas (ES) 2026/470 prasību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Parlamenta un Padomes 2022. gada 14. decembra direktīva (ES) 2022/2464, ar ko attiecībā uz korporatīvo ilgtspējas ziņu sniegšanu groza regulu (ES) Nr. 537/2014, direktīvu 2004/109/EK, direktīvu 2006/43/EK un direktīvu 2013/34/ES (turpmāk - Ilgtspējas ziņu sniegšanas direktīva) Latvijā ir pilnībā pārņemta, pieņemot jaunu Ilgtspējas informācijas atklāšanas likumu (pieņemts 2024. gada 26. septembrī) un grozījumus 10 citos saistītajos likumos, t.sk. arī GPKGPL.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šobrīd paredz lieliem uzņēmumiem un lielas grupas mātesuzņēmumiem, kas ir sabiedriskas nozīmes struktūras ar vairāk nekā 500 darbiniekiem, pārējiem lieliem uzņēmumiem un maziem un vidējiem biržā kotētiem uzņēmumiem pienākumu sagatavot ilgtspējas ziņojumu kā daļu no uzņēmuma gada pārskata, kas jāiekļauj vadības ziņojumā, atbilstoši Eiropas Savienības ilgtspējas ziņu sniegšanas standartiem un noteiktā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ziņošanas prasību piemērošana tika paredzēta pakāpeniski, nosakot atšķirīgus piemērošanas termiņus atkarībā no uzņēmuma veida un lieluma. Saskaņā ar sākotnēji Direktīvā (ES) 2022/2464 noteikto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posms – lieliem uzņēmumiem un lielu grupu mātesuzņēmumiem, kas ir sabiedriskas nozīmes struktūras ar vairāk nekā 500 darbiniekiem, ilgtspējas ziņošanas prasības bija piemērojamas pārskata gadiem, kas sākās 2024. gada 1. janvārī vai vēlāk, līdz ar to pirmais ilgtspējas ziņojums bija sagatavojams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posms – pārējiem lieliem uzņēmumiem un lielu grupu mātesuzņēmumiem prasības sākotnēji bija paredzēts piemērot pārskata gadiem, kas sākās 2025. gada 1. janvārī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posms – maziem un vidējiem uzņēmumiem, kuru pārvedami vērtspapīri ir iekļauti regulētajā tirgū, izņemot mikrouzņēmumus, mazās un nesarežģītās iestādes, kaptīvos apdrošināšanas uzņēmumus un kaptīvos pārapdrošināšanas uzņēmumus, prasības sākotnēji bija paredzēts piemērot pārskata gadiem, kas sākās 2026. gada 1. janvārī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GPKGPL paredz atsevišķas prasības attiecībā uz ilgtspējas informācijas atklāšanu vadības ziņojumā un konsolidētajā vadības ziņojumā, tostarp nosakot pienākumu noteiktām sabiedrībām iekļaut ilgtspējas ziņojumu saskaņā ar Ilgtspējas informācijas atklāšanas likumu. Ilgtspējas informācijas atklāšanas likums ir pamatlikums ilgtspējas informācijas atklāšanas jomā un nosaka ilgtspējas ziņu sagatavošanas, satura, pārbaudes un publicēšanas prasības, savukārt GPKGPL ietver tikai atsevišķas ar gada pārskatu un vadības ziņojumu saistītas normas. Šobrīd GPKGPL nosaka, ka liela sabiedrība, kā arī vidēja un maza sabiedrība, izņemot mikrosabiedrības, ja šo sabiedrību pārvedami vērtspapīri ir iekļauti regulētajā tirgū, vadības ziņojumā sniedz informāciju arī par būtiskiem nemateriālajiem resursiem un paskaidro, kā sabiedrības darbības modelis ir pamatā atkarīgs no šādiem resursiem un kā šie resursi rada vērtību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lielai sabiedrībai, kā arī vidējai un mazai sabiedrībai, izņemot mikrosabiedrības, ja šo sabiedrību pārvedami vērtspapīri ir iekļauti regulētajā tirgū, vadības ziņojuma atsevišķā sadaļā jāiekļauj skaidri identificējamu ilgtspējas ziņojumu par sabiedrības darbības ietekmi uz ilgtspējas jautājumiem, kā arī ilgtspējas jautājumu ietekmi uz sabiedrības attīstību, darbības rezultātiem un stāvokli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martā stājās spēkā Direktīva (ES) 2026/470 (Content proposal), paredzot būtiskus atvieglojumus ilgtspējas ziņu sniegšanas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paaugstināt sabiedrību lieluma sliekšņus, no kuriem iestājas pienākums sniegt ilgtspējas ziņas, nosakot, ka šāds pienākums attiecas uz sabiedrībām un koncernu mātes sabiedrībām, kuru neto apgrozījums pārsniedz 450 000 000</w:t>
      </w:r>
      <w:r w:rsidR="00000000" w:rsidRPr="00000000" w:rsidDel="00000000">
        <w:rPr>
          <w:i w:val="1"/>
          <w:rtl w:val="0"/>
        </w:rPr>
        <w:t xml:space="preserve"> euro </w:t>
      </w:r>
      <w:r w:rsidR="00000000" w:rsidRPr="00000000" w:rsidDel="00000000">
        <w:rPr>
          <w:rtl w:val="0"/>
        </w:rPr>
        <w:t xml:space="preserve">un kuru vidējais darbinieku skaits pārskata gadā pārsniedz 1 000.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GPKGPL normas, lai tās atbilstu Direktīvas (ES) 2026/470 prasībām un būtu saskaņotas ar Ilgtspējas informācijas atklāšanas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pieņemta Direktīva (ES) 2026/470, kas paredz vienkāršot ilgtspējas ziņu sniegšanas regulējumu, tostarp paaugstinot sliekšņus, no kuriem sabiedrībām un koncernu mātes sabiedrībām rodas pienākums sniegt ilgtspējas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GPKGPL normas neatbilst Direktīvas (ES) 2026/470 prasībām, jo tajās ir noteikti citi kritēriji ilgtspējas ziņojuma sagatavošanas pienākuma piemērošanai. Līdz ar to ir nepieciešams precizēt GPKGPL normas, nodrošinot to atbilstību Direktīvas (ES) 2026/470 prasībām un savstarpēju saskaņotību ar Ilgtspējas informācijas atklāšanas likumu, kas ir pamatlikums ilgtspējas informācijas atklāšanas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GPKGPL 55. panta piektās un sestās daļas un 89. panta  trešās daļas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GPKGPL normas, kas attiecas uz ilgtspējas ziņojuma iekļaušanu vadības ziņojumā un konsolidētajā vadības ziņojumā, lai tās atbilstu Direktīvas (ES) 2026/470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(ES) 2026/470 ir samazināts to sabiedrību loks, kurām ir pienākums sagatavot ilgtspējas ziņojumu. Atbilstoši grozītajam Direktīvas 2013/34/ES 19.a panta 1. punktam ilgtspējas ziņošanas pienākums attiecas uz sabiedrībām, kuras bilances datumā pārsniedz 450 000 000 </w:t>
      </w:r>
      <w:r w:rsidR="00000000" w:rsidRPr="00000000" w:rsidDel="00000000">
        <w:rPr>
          <w:i w:val="1"/>
          <w:rtl w:val="0"/>
        </w:rPr>
        <w:t xml:space="preserve">euro</w:t>
      </w:r>
      <w:r w:rsidR="00000000" w:rsidRPr="00000000" w:rsidDel="00000000">
        <w:rPr>
          <w:rtl w:val="0"/>
        </w:rPr>
        <w:t xml:space="preserve"> neto apgrozījumu un kurām pārskata gadā vidēji ir vairāk nekā 1 000 darbinieku. Līdzvērtīgs slieksnis noteikts arī koncerna mātes sabiedrībām Direktīvas 2013/34/ES 29.a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pārskatīt ilgtspējas ziņojuma sagatavošanas pienākuma tvērumu, nosakot, ka pienākums sniegt informāciju par būtiskiem nemateriālajiem resursiem un sagatavot ilgtspējas ziņojumu attieksies uz 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Līdz ar to pienākuma noteikšanā vairs netiks piemēroti GPKGPL noteiktie mazas, vidējas un lielas sabiedrības lieluma kritēriji. Tāds pats regulējums tiks attiecināts arī uz koncerna mātes 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Ilgtspējas informācijas atklāšanas likumā noteikto ilgtspējas informācijas atklāšanas regulējumu. Tas nodrošina GPKGPL normu saskaņošanu ar Ilgtspējas informācijas atklāšanas likumu un Direktīvas (ES) 2026/470 prasībām tādā apjomā, kādā tās attiecas uz GPKGPL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GPKGPL 55. panta papildināšanu ar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(ES) 2026/470 8. punkts Direktīvu 2013/34/ES papildina ar 29.ca pantu, kas paredz Komisijas pilnvarojumu noteikt ilgtspējas ziņošanas standartus brīvprātīgai lietošanai. Šo standartu mērķis ir atvieglot ilgtspējas informācijas brīvprātīgu sniegšanu uzņēmumiem, uz kuriem neattiecas obligātās ilgtspējas ziņošanas prasības, un nodrošināt samērīgu un standartizētu pieeju šādas informācijas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sabiedrībai, kurai saskaņā ar Ilgtspējas informācijas atklāšanas likumu nav pienākuma sagatavot ilgtspējas ziņojumu, netiek liegta iespēja ilgtspējas informāciju sagatavot brīvprātīgi, piemērojot Eiropas Komisijas noteiktos brīvprātīgās lietošanas standartus. Šāda brīvprātīga ziņošana nav uzskatāma par obligātās ilgtspējas ziņošanas prasības paplašināšanu, bet gan par Direktīvas 2013/34/ES 29.ca pantā paredzētās iespējas izmantošanu. Komisija ir arī norādījusi, ka brīvprātīgais standarts ir paredzēts uzņēmumiem, uz kuriem neattiecas obligātās korporatīvās ilgtspējas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GPKGPL 55. panta septītās daļas mērķis ir nodrošināt, ka gadījumā, ja sabiedrība, kurai nav pienākuma sagatavot ilgtspējas ziņojumu, ir izvēlējusies brīvprātīgi sagatavot ilgtspējas informāciju, šis fakts ir identificējams arī tās gada pārskatā. Tādēļ paredzēts, ka vadības ziņojumā sabiedrība norāda, ka ilgtspējas informācija ir sagatavota, piemērojot Eiropas Komisijas noteiktos brīvprātīgās ilgtspējas ziņošanas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nerada sabiedrībai pienākumu sagatavot ilgtspējas informāciju un nepaplašina to sabiedrību loku, kurām ir obligāts ilgtspējas ziņošanas pienākums. Tā nosaka tikai papildu informācijas atklāšanas prasību gadījumā, ja sabiedrība pati ir izvēlējusies izmantot Direktīvas 2013/34/ES 29.ca pantā paredzēto brīvprātīgās ilgtspējas ziņošanas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arī iespēju identificēt sabiedrības, ja tas nepieciešams,  kuras Latvijā brīvprātīgi izmanto Eiropas Komisijas noteiktos ilgtspējas ziņošanas standartus. Tas ir būtiski arī Eiropas Savienības līmenī, jo Direktīvas (ES) 2022/2464 6. panta 1. punkta b) apakšpunkts paredz Komisijai veikt arī to uzņēmumu skaita novērtējumu, kuri brīvprātīgi izmanto Direktīvas 2013/34/ES 29.ca pantā minētos ilgtspējas ziņošanas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GPKGPL 55. panta septītās daļas regulējums ir vērsts uz brīvprātīgas ilgtspējas ziņošanas caurskatāmību un tās izmantošanas apzināšanu, vienlaikus saglabājot Direktīvas 2013/34/ES 29.ca pantā noteikto brīvprātīgās ziņošanas raksturu.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Lielas sabiedrības un liela koncerna mātes sabiedrības, kuras ir sabiedriskas nozīmes struktūras un kuras darbinieku skaits ir lielāks par 500, bet nepārsniedz neto apgrozījumu bilances datumā 450 000 000 euro un kuru vidējais darbinieku skaits pārskata gadā nepārsniedz 1000.
2. Lielas sabiedrības un liela koncerna mātes sabiedrības GPKGPL izpratnē.
3. Komercsabiedrības un koncerna mātes sabiedrības, kuru neto apgrozījums bilances datumā pārsniedz 450 000 000 euro un kuru vidējais darbinieku skaits pārskata gadā pārsniedz 1000.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samazinās to sabiedrību un koncernu mātes sabiedrību loku, kurām piemērojams pienākums vadības ziņojumā vai konsolidētajā vadības ziņojumā sniegt ilgtspējas informāciju un iekļaut ilgtspējas ziņojumu, līdz ar to samazināsies administratīvais slogs tām sabiedrībām, kuras vairs neatbildīs ilgtspējas ziņu sniegšanas pienākuma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neievieš jaunas prasības sabiedrībām, bet nodrošina spēkā esošā regulējuma pielāgošanu Direktīvas (ES) 2026/470 prasībām un GPKGP normu saskaņošanu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neradīs papildu finansiālu ietekmi uz valsts budžetu vai pašvaldību budžetiem, kā arī neprasīs jaunu institucionālu vai administratīvu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būtiski mazina Eiropas Komisijas pieņemtā atvieglotā ziņošanas standartu (ESRS) pakotne (kurai šobrīd norit 2 mēnešu Eiropas Parlamenta un Padomes pārbaudes periods) — līdz ar to tiek samazināts pieprasītās informācijas daudzums un attiecīgi arī ziņojuma sagatavošanai patērētais laiks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pārskatīto standartu nodrošinātais pieprasāmās informācijas un patērētā laika samazinājums ir vērtējams kā kvalitatīvs administratīvā sloga atvieglojums, kura tiešu monetāro ietekmi unifikācijas neiespējamības dēļ nav iespējams precīzi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2024. un 2025. pārskatu gadu, pienākums sagatavot ilgtspējas ziņojumu pēc jaunajiem kritērijiem (neto apgrozījums pārsniedz 450 000 000 </w:t>
      </w:r>
      <w:r w:rsidR="00000000" w:rsidRPr="00000000" w:rsidDel="00000000">
        <w:rPr>
          <w:i w:val="1"/>
          <w:rtl w:val="0"/>
        </w:rPr>
        <w:t xml:space="preserve">euro</w:t>
      </w:r>
      <w:r w:rsidR="00000000" w:rsidRPr="00000000" w:rsidDel="00000000">
        <w:rPr>
          <w:rtl w:val="0"/>
        </w:rPr>
        <w:t xml:space="preserve"> un vidējais darbinieku skaits pārskata gadā pārsniedz 1000) atbilst aptuveni 10 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uzņēmējdarbības vidi, samazinot normatīvo prasību izpildes izmaksas un administratīvo slogu tām sabiedrībām, uz kurām pēc Direktīvas (ES) 2026/470 vairs neattieksies ilgtspējas ziņu sniegšanas pienākums.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1. punktu  grozītās Grāmatvedības direktīvas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pantā iekļautā GPKGPL 55.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3. punktu  grozītās Grāmatvedības direktīvas 19.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pantā iekļautā GPKGPL 55.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5. punktu  grozītās Grāmatvedības direktīvas 29.a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GPKGPL likuma 89.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ievietojot Tiesību aktu projektu publiskajā portālā sabiedrības līdzdalībai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26-TA-896</w:t>
    </w:r>
    <w:r>
      <w:br/>
    </w:r>
    <w:r w:rsidR="00000000" w:rsidRPr="00000000" w:rsidDel="00000000">
      <w:rPr>
        <w:rtl w:val="0"/>
      </w:rPr>
      <w:t xml:space="preserve">Izdrukāts 31.08.2026. 10.27 - 1.0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26-TA-896</w:t>
    </w:r>
    <w:r>
      <w:br/>
    </w:r>
    <w:r w:rsidR="00000000" w:rsidRPr="00000000" w:rsidDel="00000000">
      <w:rPr>
        <w:rtl w:val="0"/>
      </w:rPr>
      <w:t xml:space="preserve">Izdrukāts 31.08.2026. 10.27 - 1.0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anotācija_(ex_ante)_26-TA-896.docx</dc:title>
</cp:coreProperties>
</file>

<file path=docProps/custom.xml><?xml version="1.0" encoding="utf-8"?>
<Properties xmlns="http://schemas.openxmlformats.org/officeDocument/2006/custom-properties" xmlns:vt="http://schemas.openxmlformats.org/officeDocument/2006/docPropsVTypes"/>
</file>