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Ēku energoefektivitātes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pārņemtu Eiropas Parlamenta un Padomes 2024. gada 24. aprīļa direktīvu (ES) Nr. 2024/1275 par ēku energosniegumu (turpmāk - direktīva 2024/1275) un Eiropas Parlamenta un Padomes 2023. gada 13. septembra direktīvu (ES) Nr. 2023/1791 par energoefektivitāti (turpmāk - direktīva 2023/1791).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pārņemt Eiropas Parlamenta un Padomes direktīvas (ES) 2024/1275 par ēku energosniegumu un (ES) 2023/1791 par energoefektivitāti, pilnveidojot ēku energosnieguma regulējumu un nosakot prasības publiskā sektora subjektu ēku atjaunošanas pienākumam.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 2024. gada 24. aprīlī pieņēma Direktīvu (ES) 2024/1275 par ēku energosniegumu, kuras prasības dalībvalstīm jāpārņem nacionālajos tiesību aktos līdz 2026. gada 29. maijam. Direktīva ievieš bezemisiju ēku koncepciju, nosaka minimālās energosnieguma prasības ēkām un to atjaunošanai, kā arī precizē prasības ēku energosertificēšanai, energosnieguma aprēķinam, inženiertehnisko sistēmu efektivitātei un atjaunojamo energoresursu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paredz dalībvalstu pienākumu izstrādāt ilgtermiņa ēku atjaunošanas plānus, nosakot ēku fonda pakāpeniskas atjaunošanas trajektorijas līdz klimatneitralitātes sasniegšanai, kā arī nodrošināt, ka ēku atjaunošana tiek veikta atbilstoši šajās trajektorijās noteiktajiem mērķiem. Vienlaikus direktīva paredz iespēju dalībvalstīm noteikt atkāpes un elastīgus risinājumus atsevišķām ēku grupām, ņemot vērā tehniskos, ekonomiskos, kultūrvēsturiskos un klimatiskos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nepieciešama šī likumprojekta izstrāde, ar kuru, kopā ar citiem normatīvajiem aktiem, tostarp būvnormatīviem, ēku energoefektivitātes aprēķina metodēm un ēku energosertifikācijas noteikumiem, ekspluatējamu ēku energoefektivitātes minimālo prasību regulējumu un nacionālo ēku atjaunošanas plānu, tiek nodrošināta direktīvu prasību pārņemšana nacionālajos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esošajā regulējumā ēku energosnieguma jomā izmantotā terminoloģija un definīcijas pilnībā neatbilst direktīvas 2024/1275 lietotajai terminoloģijai. Atšķirīga vai nepilnīga terminu lietošana var radīt interpretācijas riskus, apgrūtināt direktīvu prasību vienotu piemērošanu un radīt neskaidrības normatīvo aktu piemērotājiem.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pārņemta un precizēta terminoloģija un definīcijas atbilstoši direktīvas 2024/1275 lietotajiem terminiem, nodrošinot terminoloģisko saskaņotību ar Eiropas Savienības tiesisko regulējumu un vienotu izpratni par piemērojamajām prasībām ēku energosnieguma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Ēku energoefektivitātes likuma 3. panta otrajā daļā nepieciešams precizēt ēkas, uz kurām likuma prasības nav attiecināmas vai ir attiecināmas ar izņēmumiem. Spēkā esošais regulējums nepietiekami aptver ēkas ar kultūrvēsturisko vērtību, (neietver ēkas, kurām pašvaldība noteikusi kultūrvēsturisko vērtību), kā arī neietver Direktīvā 2024/1275 paredzēto izņēmumu ēkām, kuras kalpo valsts aizsardzības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ka likuma prasības nepiemēro arī ēkām, kurām pašvaldība noteikusi kultūrvēsturisko vērtību, ja izmaksoptimāla līmeņa sasniegšana nebūtu savienojama ar attiecīgās kultūrvēsturiskās vērtības saglabāšanas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neparedz vispārēju atbrīvojumu no likuma prasību piemērošanas kultūrvēsturiskām ēkām. Prasības šādām ēkām nepiemēro tikai tiktāl, ciktāl konkrētās prasības piemērošana apdraudētu attiecīgās ēkas kultūrvēsturiskās vērtības saglabāšanu. Tādējādi likumprojektā paredzēta prasību pielāgošana konkrētās ēkas kultūrvēsturiskās vērtības aizsardzības vajadzībām, nevis pilnīga prasību nepiemērošana.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ka likuma prasības nepiemēro ēkām, kuras kalpo valsts aizsardzības mērķiem, izņemot bruņotajiem spēkiem un citam valsts aizsardzības iestāžu personālam paredzētām atsevišķām dzīvojamām ēkām vai ēku daļām, kā arī biroju ēkām. Tādējādi tiek precizēts likuma piemērošanas tvērums un nodrošināta atbilstība Direktīvai 2024/1275.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2023/1791 6. pants nosaka dalībvalstīm pienākumu nodrošināt, ka katru gadu tiek atjaunoti vismaz trīs procenti no publiskā sektora subjektu īpašumā esošo ēku kopējās lietderīgās iekštelpu platības, ja attiecīgās ēkas neatbilst gandrīz nulles enerģijas atjaunotas ēkas prasībām. Minētais pienākums attiecas uz publiskā sektora subjektu ēkām, kuru kopējā lietderīgā iekštelpu platība pārsniedz 250 kvadrātmetrus.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Ēku energoefektivitātes likumā nav noteikts publiskā sektora subjektu ēku ikgadējs atjaunošanas pienākums atbilstoši Direktīvas 2023/1791 6. pantam. Tāpat normatīvajā regulējumā nav pietiekami skaidri noteikts, kādā līmenī šāds pienākums īstenojams, kā tiek noteikta ēku platība, kas iekļaujama ikgadējā atjaunošanas apjomā, kā ņemami vērā izņēmumi un kā nodrošināma informācijas apkopošana par publiskā sektora subjektu īpašumā esošajām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publiskā sektora institucionālo struktūru, nav lietderīgi noteikt pienākumu katram publiskā sektora subjektam individuāli katru gadu atjaunot trīs procentus no tā īpašumā esošo ēku platības. Atsevišķu subjektu īpašumā var būt neliels ēku skaits vai tādas ēkas, kuru atjaunošana konkrētajā gadā nav tehniski, ekonomiski vai funkcionāli iespējama. Tādēļ pienākuma izpilde jāorganizē plašākā institucionālā līmenī — ministrijas vai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noteikt, ka informācija par publiskā sektora subjektu īpašumā esošajām ēkām tiek apkopota vienotā sarakstā, lai nodrošinātu atjaunošanas pienākuma izpildes uzraudzību un politikas plānošanai nepieciešamo datu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Ēku energoefektivitātes likumu ar regulējumu, kas pārņem Direktīvas 2023/1791 6. pantā noteikto publiskā sektora subjektu ēku ikgadējās atjaunošanas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lietotais termins "publiskā sektora subjekts" pārņem Direktīvas 2023/1791 2. panta 12. punktā ietvertā jēdziena "publiskas struktūras" saturu un ir lietots, lai aptvertu ne tikai valsts un pašvaldību iestādes, bet arī citus subjektus, kuri atbilst direktīvā noteiktajiem kritērijiem. Direktīvas 2023/1791 izpratnē publiskas struktūras ir valsts, reģionālās vai vietējās iestādes, kā arī subjekti, kurus minētās iestādes tieši finansē un pārvalda un kuru darbībai nav rūpnieciska vai komerciāla rakstura. Termins "publiskā sektora subjekts" ir plašāks par jēdzienu "iestāde", jo tas neaprobežojas tikai ar valsts pārvaldes institucionālajā sistēmā ietilpstošām iestādēm. Tādēļ Direktīvas 2023/1791 definīcijas aizstāšana tikai ar Valsts pārvaldes iekārtas likumā lietotajiem tiešās un pastarpinātās pārvaldes iestāžu, atvasinātu publisku personu un citu valsts iestāžu jēdzieniem varētu nepamatoti sašaurināt direktīvā noteikto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termins nav interpretējams tik plaši, ka tajā automātiski ietilptu jebkura valsts vai pašvaldības kapitālsabiedrība. Publiskas personas līdzdalība kapitālsabiedrībā vai kapitālsabiedrības juridiskā forma pati par sevi nav pietiekama, lai to atzītu par publiskā sektora subjektu. Kapitālsabiedrības atbilstība šim terminam vērtējama pēc visu likumā noteikto kritēriju kopuma, proti, vai attiecīgo subjektu tieši finansē un pārvalda valsts, reģionālā vai vietējā iestāde un vai tā darbībai nav rūpnieciska vai komerciāla rakstura. Subjekta darbības rūpnieciskais vai komerciālais raksturs vērtējams pēc tā faktiskās darbības mērķa un apstākļiem, tostarp tā darbības tirgus vidē un saimnieciskā riska, nevis tikai pēc tā juridiskās formas vai atsevišķu ieņēmumu esības. Savukārt publiskais finansējums vai publiskas personas noteicošā ietekme pati par sevi nav pietiekama, ja vienlaikus nav izpildīti arī pārējie definīcijā noteiktie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likumā lietotie kapitālsabiedrību iedalījumi un tām noteiktie finanšu un nefinanšu mērķi var tikt ņemti vērā kā papildu informācija, vērtējot konkrētu kapitālsabiedrību. Tomēr minētajā likumā lietotās kategorijas nav pilnībā pielīdzināmas Direktīvas 2023/1791 definīcijai un neaizstāj tajā noteikto finansēšanas, pārvaldības un darbības rakstura kritēriju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publiskā sektora subjekta tvērums nosakāms nevis tikai pēc juridiskās formas vai subjekta nosaukuma, bet pēc visu Direktīvā 2023/1791 un likumā noteikto kritēriju kopuma. Šāda pieeja nodrošina korektu direktīvas pārņemšanu, vienlaikus novēršot visu publiskas personas kapitālsabiedrību automātisku iekļaušanu regulējuma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"publiskā sektora subjekts" lietošana nodrošina arī terminoloģisku konsekvenci ar saistīto būvniecības regulējumu, tai skaitā grozījumiem Latvijas būvnormatīvā LBN 200-21 "Būvju vispārīgo prasību būvnormatīvs" (25-TA-1187), kuros šis termins jau ir lietots Direktīvas 2023/1791 prasību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publiskā sektora subjektu ēku atjaunošanas apjomu nosaka un tā izpildi nodrošina ministrijas vai pašvaldības līmenī. Ministrijas līmenī aprēķinā ņem vērā attiecīgās ministrijas valdījumā esošās valsts īpašumā esošās ēkas, kā arī ministrijas padotībā esošo publiskā sektora subjektu īpašumā vai valdījumā esošās ēkas. Pašvaldības līmenī aprēķinā ņem vērā attiecīgās pašvaldības īpašumā esošās ēkas, kā arī tās padotībā esošo publiskā sektora subjektu īpašumā vai valdījumā esošās ēkas. Šāda pieeja nodrošina, ka pienākums tiek īstenots institucionāli un praktiski izpildāmā līmenī, vienlaikus ņemot vērā nacionālajā tiesību sistēmā noteikto publiskas personas mantas īpašuma un valdījuma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pienākuma sadalījums ministriju un pašvaldību līmenī ir izvēlēts kā praktiski īstenojams mehānisms Direktīvas 2023/1791 6. pantā noteiktā publiskā sektora subjektu ēku atjaunošanas pienākuma izpildei valsts līmenī. Šāda pieeja ļauj aptvert būtiskāko publiskā sektora ēku platību, vienlaikus neradot nesamērīgu administratīvo un finansiālo slogu atvasinātām publiskām personām vai neatkarīgām institūcijām, kuru īpašumā vai valdījumā ir neliels ēku skaits. Ārpus ministriju un pašvaldību līmeņa aprēķina var palikt atsevišķas šādu institūciju ēkas, tomēr sākotnējais izvērtējums liecina, ka to apjoms ir neliels — kopējais šādu ēku skaits ir mazāks par 30. Šīs ēkas netiek izslēgtas no kopējās publiskā sektora subjektu ēku uzskaites, un to atjaunošana tiek ņemta vērā Latvijas kopējā publiskā sektora ēku atjaunošanas apjomā, par kuru tiek sniegta informācija Eiropas Komisijai. Likumprojektā noteiktais pienākuma sadalījums pats par sevi neierobežo šo institūciju iespējas pretendēt uz publiskā finansējuma atbalsta programmām ēku atjaunošanai, ja tās atbilst attiecīgās programmas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katru gadu atjauno vismaz trīs procentus no attiecīgās ministrijas vai pašvaldības līmenī noteiktās ēku kopējās lietderīgās iekštelpu platības. Aprēķinā iekļauj ēkas, kuru kopējā lietderīgā iekštelpu platība pārsniedz 250 kvadrātmetrus, kurās enerģiju izmanto iekštelpu mikroklimata regulēšanai un kuras 2024. gada 1. janvārī neatbilda gandrīz nulles enerģijas atjaunotas ēkas prasībām. Ja minētajiem kritērijiem atbilst Ēku energoefektivitātes likuma 3. panta otrās daļas 2. un 3. punktā minētās ēkas, uz tām attiecas šajā pantā noteiktais publiskā sektora ēku atjaunošanas pienākums. Tādējādi likumprojektā publiskā sektora ēku atjaunošanas pienākuma piemērošanas joma noteikta patstāvīgi, nevis mehāniski pārņemot visus Ēku energoefektivitātes likuma 3. panta otrajā daļā noteiktos vispārīgos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Atjaunotajām ēkām vai ēku daļām pēc atjaunošanas jāatbilst vismaz gandrīz nulles enerģijas atjaunotas ēkas prasībām. Likumprojektā attiecībā uz ēku atjaunošanas pienākumu tiek lietots termins "ēku kopējā lietderīgā iekštelpu platība". Ēkas lietderīgā platība ir skaidrota Ministru kabineta 2023.gada 7.marta noteikumu Nr. 116 "Būvju kadastrālās uzmērīšanas noteikumi" 64.punktā un tā sastāv no dzīvojamo telpu grupu kopējās platības un nedzīvojamo telpu grupu kopējās platības. Lietderīgajā platībā neieskaita koplietošanas telpu grupu kopējo platību. Tiesību akta projekts ļauj veikt gan visas ēkas atjaunošanu, gan ēkas daļas atjaunošanu, pie nosacījuma, ka attiecīgās ēkas daļas platību ir iespējams objektīvi noteikt, nodalot no pārējās ēkas platības, un šai daļai izstrādāt atsevišķu energosnieguma sertifikātu. Ikgadējā atjaunošanas apjoma izpildē var tikt ieskaitīta arī atbilstoši minētajām prasībām atjaunotā ēkas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6. panta 2. punktā paredzētā rīcības brīvība netiek izmantota kā vispārējs atbrīvojums no publiskā sektora subjektu ēku atjaunošanas pienākuma. Vienlaikus jāņem vērā, ka Ministru kabineta 2021. gada 8. aprīļa noteikumos Nr. 222 "Ēku energoefektivitātes aprēķina metodes un ēku energosertifikācijas noteikumi" jau šobrīd atsevišķām ēku grupām ir noteiktas diferencētas prasības, lai ēku varētu uzskatīt par gandrīz nulles enerģijas atjaunotu ēku. Līdz ar to Direktīvas 2023/1791 6. panta 2. punktā paredzētā elastība tiek īstenota nevis kā ēku pilnīga izslēgšana no pienākuma, bet gan caur gandrīz nulles enerģijas ēkas prasību līmeņa noteikšanu. Attiecībā uz ēkām, kas minētas Direktīvas 2023/1791 6. panta 2. punktā, šīs prasības nepieciešamības gadījumā var tikt pārskatītas, nosakot samērīgu un attiecīgās ēku grupas specifikai atbilstošas prasības gandrīz nulles enerģijas atjaunotas ēkas līmeņa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paredzēts izņēmums sociālajām dzīvojamām mājām, ja to atjaunošana nav izmaksu ziņā neitrāla vai ja atjaunošanas rezultātā īres maksas pieaugums pārsniegtu attiecīgās ēkas īrnieku enerģijas izmaksu ietaupījumu. Tādējādi tiek novērsts risks, ka energoefektivitātes prasību izpilde varētu radīt nesamērīgu finansiālu slogu sociālo dzīvojamo māju īrniekiem.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gadījumā, ja attiecīgajā gadā ministrijas vai pašvaldības līmenī atjaunotā ēku platība pārsniedz ikgadēji noteikto atjaunošanas apjomu, pārsniegumu var ieskaitīt turpmāko gadu ikgadējā atjaunošanas apjoma izpildē, līdz pārsnieguma apjoms ir pilnībā izmantots. Tāpat ikgadējā atjaunošanas apjoma izpildē var ieskaitīt jaunu publiskā sektora subjekta īpašumā vai valdījumā esošu ēku, kas aizstāj iepriekš publiskā sektora subjekta īpašumā vai valdījumā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datu pieejamību un pienākuma izpildes uzraudzību, likumprojektā paredzēts, ka Būvniecības valsts kontroles birojs izveido, uztur, ne retāk kā reizi divos gados aktualizē un savā tīmekļvietnē publicē publiskā sektora subjektu ēku sarakstu. Sarakstā iekļauj ēkas, kuru kopējā lietderīgā iekštelpu platība pārsniedz 250 kvadrātmetrus, norādot vismaz ēkas kopējo lietderīgo iekštelpu platību, izmērīto gada enerģijas patēriņu un spēkā esošā energosnieguma sertifikātā norādīto ēkas energosnieguma klasi. Būvniecības valsts kontroles birojs, pamatojoties uz sarakstā iekļauto informāciju un publiskā sektora subjektu sniegto informāciju, nodrošina ikgadējā atjaunošanas apjoma un tā izpildes aprēķinu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sektora subjektiem paredzēts pienākums katru gadu līdz 1. februārim Energoresursu informācijas sistēmā sniegt informāciju par iepriekšējo kalendāro gadu attiecībā uz to īpašumā vai valdījumā esošām ēkām, kas nepieciešama publiskā sektora subjektu ēku saraksta izveidei, uzturēšanai un aktualizēšanai, kā arī ikgadējā atjaunošanas apjoma un tā izpildes aprēķinam ministrijas, pašvaldības un valsts līmenī. Informācijas sniegšanas pienākums Energoresursu informācijas sistēmā ir nošķirams no atbildības par ikgadējā atjaunošanas apjoma izpildi. Informāciju sistēmā sniedz katrs publiskā sektora subjekts par tā rīcībā esošajiem datiem, savukārt pienākuma izpilde tiek vērtēta ministrijas vai pašvaldības līmenī un apkopota arī valsts līmenī, lai nodrošinātu ziņošanu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likumprojektā paredzēts, ka publiskā sektora subjekts, nomājot ēku vai izmantojot to uz cita tiesiska pamata, noteiktos gadījumos rakstiski ierosina ēkas īpašniekam iekļaut līgumā tādus noteikumus, kas veicinātu ēkas atjaunošanu līdz vismaz gandrīz nulles enerģijas atjaunotas ēkas prasībām. Šajā gadījumā publiskā sektora subjektam līguma grozījumu izstrādes procesā, vai, ja tā rīcībā nonāk informācija par plānoto ēkas pārbūvi vai atjaunošanu vai lietošanas veida maiņu bez pārbūves pēc savas iniciatīvas samērīgā laika posmā, ir jāsniedz ēkas īpašniekam ierosinājums papildināt līgumu par ēkas īpašnieka apņemšanos veikt darbības, lai sasniegt ēkas atbilstību vismaz gandrīz nulles enerģijas atjaunotai ēkai. Vienlaicīgi publiskā sektora subjekts nav atbildīgs par to, ka šāds ierosinājums tiek respektēts un līgumā tiek ietverts nepieciešamais līgumtiesiskais regulējums. Proti, šajā gadījumā neiestājas pienākums atkāpties no līguma un mainīt nomas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paredzēta elastīgāka pieeja ikgadējā ēku atjaunošanas pienākuma izpildei. Ministru kabinets, ņemot vērā publiskā sektora subjektu ēku atjaunošanai pieejamo finansējumu, ar rīkojumu varēs noteikt, ka atsevišķai ministrijai vai pašvaldībai attiecīgajā gadā noteiktais pienākums izpildāms mazākā apjomā vai nav jāizpilda, ja valstī kopumā tiek nodrošināta noteiktā ikgadējā atjaunošanas apjoma izpilde. Tādējādi kopējais ikgadējais atjaunošanas apjoms netiks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pārskats par pienākuma izpildi sniedzams reizi divos gados, pēc pārskata perioda pirmā gada, pamatojoties uz informāciju par faktisko izpildi, pieejamo finansējumu un plānotajiem atjaunošanas projektiem, būs iespējams novērtēt otrajā gadā paredzamo kopējā atjaunošanas apjoma izpildi. Pamatojoties uz šo novērtējumu, Ministru kabinets varēs lemt par atsevišķai ministrijai vai pašvaldībai attiecīgajā gadā noteiktā pienākuma samazināšanu vai nepiemērošanu.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 2024/1275 nosaka pienākumu ēkas energoefektivitātes novērtējumā pilnīgāk ņemt vērā risinājumus, kas ietekmē ēkas faktisko energosniegumu, tostarp uz vietas saražoto atjaunīgo enerģiju, enerģijas uzkrāšanas iespējas un ēkas automatizācijas un vadības sistēmu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nosacījumus, kas ņemami vērā, novērtējot ēkas vai tās daļas energoefektivitāti, paredzot, ka novērtējumā ņem vērā objektā uz vietas uzstādītās atjaunīgās enerģijas ražošanas un enerģijas uzkrāšanas jaudu, kā arī ēku automatizācijas un vadības sistēmas un to spējas uzraudzīt, kontrolēt un optimizēt ēkas energosniegumu.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Spēkā esošajā regulējumā ekspluatācijas emisiju aprēķins ēkām praksē jau tiek veikts, tomēr šis pienākums nav tieši nostiprināts likuma līmenī, radot tiesiskās nenoteiktības un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globālās sasilšanas potenciāla (GSP) aprēķins jaunām ēkām līdz šim normatīvajos aktos nav noteikts kā obligāta prasība, lai gan direktīva (ES) 2024/1275 paredz pakāpenisku pāreju uz ēku dzīves cikla klimata ietekmes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nostiprināts pienākums visām ēkām aprēķināt ekspluatācijas emisijas, tiesiski nostiprinot līdzšinējo praksi un nodrošinot vienotu un konsekventu aprēķinu piemērošanu ēku energoefektivitātes novērtēšanas procesā. Šāds regulējums ļauj skaidrāk sasaistīt ēkas energopatēriņu ar tā radīto ietekmi uz vidi un nodrošina salīdzināmu informāciju par ēku ekspluatācijas posmā radītajām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tiek ieviests pienākums jaunām ēkām aprēķināt globālās sasilšanas potenciālu, nodrošinot Direktīvas 2024/1275 prasību pārņemšanu un radot priekšnoteikumus ēku projektēšanā izvērtēt to ietekmi uz klimatu visā dzīves ciklā. Šāda pieeja paredz, ka ēkas ietekme uz klimatu tiek vērtēta ne tikai tās ekspluatācijas laikā, bet arī ņemot vērā citus būtiskus dzīves cikla posmus.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pārskatāmu un praktiski piemērojamu globālās sasilšanas potenciāla aprēķina kārtību, aprēķina metodika tiks izstrādāta kā standarts. Standarta izmantošana ļaus noteikt vienotu pieeju aprēķina veikšanai, izmantojamajiem datiem un rezultātu noformēšanai, tādējādi mazinot atšķirīgas interpretācijas risku un nodrošinot aprēķinu savstarpēju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atsauce uz piemērojamo standartu tiks ietverta Ministru kabineta 2021. gada 8. aprīļa noteikumos Nr. 222 "Ēku energoefektivitātes aprēķina metodes un ēku energosertifikācijas noteikumi". Tādējādi likumā tiks noteikts pienākums veikt attiecīgo aprēķinu, savukārt detalizēta aprēķina metodika tiks nostiprināta piemērošanas regulējumā, nodrošinot skaidru un vienotu mehānismu prasības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 (ES) 2024/1275 paredz atjaunošanas pases koncepta ieviešanu kā brīvprātīgu instrumentu, kas palīdz īpašniekiem plānot ēku atjaunošanu pakāpeniski un izmaksoptimāli.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ieviests atjaunošanas pases koncepts, nosakot, ka atjaunošanas pases izstrāde ir brīvprātīga. Gadījumā, ja ēkai ir izstrādāta atjaunošanas pase, papildus nav nepieciešams sagatavot atsevišķu pārskatu par pasākumiem ēkas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veicina strukturētu un ilgtermiņā pārdomātu ēku atjaunošanas plānošanu, vienlaikus samazinot administratīvo slogu ēku īpašniekiem un nodrošinot Direktīvas 2024/1275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Atjaunošanas pases saturu, kā arī tās izstrādes noteikumus paredzēts noteikt Ministru kabineta 2021. gada 8. aprīļa noteikumos Nr. 222 "Ēku energoefektivitātes aprēķina metodes un ēku energosertifikācijas noteikumi". Tādējādi likumā tiek nostiprināts atjaunošanas pases tiesiskais ietvars, savukārt detalizētas prasības tās sagatavošanai tiks noteiktas piemērošanas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Spēkā esošais regulējums paredz, ka ēkas pagaidu energosnieguma sertifikāta derīguma termiņš ir trīs gadi. Praksē pagaidu energosnieguma sertifikāts jaunbūvēm un pārbūvējamām ēkām nereti tiek reģistrēts jau būvprojekta stadijā, nevis pie būves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var veidoties situācija, ka pagaidu energosnieguma sertifikāta derīguma termiņš beidzas neilgi pēc ēkas nodošanas ekspluatācijā vai pirms ir pieejami pietiekami faktiskā enerģijas patēriņa dati. Savukārt izmērītā energosnieguma novērtēšanai nepieciešami enerģijas patēriņa dati par vismaz trīs gadu periodu. Līdz ar to atsevišķos gadījumos nav iespējams pamatoti aizstāt pagaidu energosnieguma sertifikātu ar ēkas energosnieguma sertifikātu, kas balstīts uz izmērīto energosniegumu.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noteikts ēkas pagaidu energosnieguma sertifikāta derīguma termiņš 5 gadi no būves nodošanas ekspluatācijā brīža. Šāds termiņš nodrošina pietiekamu laiku ēkas faktiskā enerģijas patēriņa datu uzkrāšanai pēc ēkas ekspluatācijas uzsākšanas.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Direktīvā 2024/1275 noteikts plašāks neatkarīgo ekspertu darbības un kompetenču tvērums, nekā paredzēts spēkā esošajā regulējumā. Vienlaikus spēkā esošajā regulējumā nav pietiekami skaidri nostiprināta iesniegumu virzības kārtība neatkarīgā eksperta sertifikāta saņemšanai atbilstoši praksē īstenotajam procesam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precizēts neatkarīgo ekspertu darbības tvērums, nosakot, ka sertificēti neatkarīgie eksperti veic ne tikai ēku energosnieguma sertifikāciju un inženiersistēmu pārbaudes, bet arī atjaunošanas pasu izveidi un viedgatavības novērtējumu. Tādējādi tiek nodrošināta atbilstība Direktīvā 2024/1275 noteiktajam neatkarīgo ekspertu kompetences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persona neatkarīgā eksperta sertifikāta saņemšanai iesniedz tiešsaistes iesniegumu Būvniecības informācijas sistēmā. Tas nodrošina vienotu un elektronisku iesniegumu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arī paredzēts, ka neatkarīgā eksperta sertifikātu piešķir bez termiņa ierobežojuma, vienlaikus nosakot pienākumu neatkarīgajiem ekspertiem regulāri paaugstināt profesionālo kvalifikāciju. Tādējādi tiek nodrošināta sertifikācijas procesa nepārtrauktība un neatkarīgo ekspertu profesionālās kompetences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attiecībā uz ēku viedgatavības novērtējumu izriet no Direktīva (ES) 2024/1275 25. panta, kā arī ir saistīta ar direktīvas 15. pantā paredzēto viedgatavības novērtējuma sistēmas izveidi Eiropas Savienības līmenī. Detalizēts regulējums šobrīd vēl tiek izstrādāts, un Eiropas Komisija līdz 2027. gada 30. jūnijam pieņems deleģēto aktu par vienotas sistēmas piemērošanu. Ņemot vērā gaidāmās prasības, projektā savlaicīgi paredzēts attiecīgs pienākums neatkarīgiem ekspertiem. Viedgatavība ir ēkas spēja izmantot digitālās tehnoloģijas un automatizāciju, lai optimizētu enerģijas patēriņu, pielāgotos lietotāju vajadzībām un mijiedarbotos ar energosistēmu.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Spēkā esošais regulējums paredz pienākumu izvietot energosertifikātu tikai publiskajās ēkās, ja tām veikta energosertifikācija. Vienlaikus Direktīva (ES) 2024/1275 21. pants nosaka plašāku regulējumu, paredzot prasību izvietot energosnieguma sertifikātu redzamā vietā ne tikai publiskā sektora subjektu izmantotās ēkās, bet visās nedzīvojamās ēkās, kurām izsniegts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likuma regulējumu, paplašinot tā tvērumu, lai nodrošinātu pilnīgu direktīvas prasību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nodrošina direktīvas (ES) 2024/1275 21. panta prasību pārņemšanu pēc būtības. Direktīvas 21. panta 2. punkts ir formulēts plašāk un aptver visus nedzīvojamo ēku gadījumus, tostarp arī tās ēkas, kuras izmanto publiskā sekotora subjekti un kuras bieži apmeklē sabiedrība, kā noteikts 1. punktā. Līdz ar to, nosakot vispārīgu pienākumu izvietot energosertifikātu redzamā vietā nedzīvojamās ēkās, tiek nodrošināta arī 1. punktā paredzētā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normas tvēruma precizēšana projektā neierobežo direktīvas prasību piemērošanu, bet nodrošina to vienkāršotu un pilnīgu pārņemšanu, izvairoties no normu dublēšanās.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Direktīva 2024/1275 paredz jaunu ēku energosnieguma līmeni — bezemisiju ēkas. Spēkā esošajā regulējumā nav noteikts pietiekams pilnvarojums Ministru kabinetam noteikt bezemisiju ēkām piemērojamās prasības un to izpildes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Bezemisiju ēku regulējums pēc būtības ietver tehniskas prasības, kas var būt saistītas ne tikai ar ēkas energosnieguma līmeni, bet arī ar ēkas inženiersistēmām, energoapgādi, ekspluatācijas siltumnīcefekta gāzu emisijām un citiem ar bezemisiju ēkas līmeņa sasniegšanu un novērtēšanu saistītiem nosacījumiem. Tādēļ minētās prasības nav lietderīgi detalizēti noteikt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noteikta bezemisiju ēkas definīcija. Bezemisiju ēka ir ēka, kas atbilst Direktīvas 2024/1275 11. panta 1. un 7. punktā noteiktajiem kritērijiem, tai skaitā prasībām par ļoti augstu energosniegumu, primārās enerģijas patēriņu, ekspluatācijas siltumnīcefekta gāzu emisijām, kā arī oglekļa emisiju neradīšanu no fosilā kurināmā uz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paredzēts papildināt pilnvarojumu Ministru kabinetam, nosakot tiesības noteikt bezemisiju ēkām piemērojamās tehniskās prasības. Minētās prasības paredzēts ietvert Ministru kabineta 2021. gada 8. aprīļa noteikumos Nr. 222 "Ēku energoefektivitātes aprēķina metodes un ēku energosertifikācijas noteikumi". Tas nodrošina, ka bezemisiju ēkas atbilstība tiek vērtēta jau esošajā ēku energoefektivitātes aprēķina un energosertifikācijas sistēmā, neieviešot atsevišķu paralēlu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nodrošina Direktīvas 2024/1275 prasību pārņemšanu nacionālajā regulējumā un ļauj bezemisiju ēkām piemērojamās tehniskās prasības noteikt jau esošajā normatīvajā aktā, kas regulē ēku energoefektivitātes aprēķina metodes un ēku energosertifikācijas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paredz ekspluatācijas emisiju aprēķina pienākuma nostiprināšanu likuma līmenī visām ēkām, kā arī jaunu pienākumu jaunām ēkām veikt globālās sasilšanas potenciāla (GSP)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paredz ekspluatācijas emisiju aprēķina pienākuma nostiprināšanu likuma līmenī visām ēkām, kā arī jaunu pienākumu jaunām ēkām veikt globālās sasilšanas potenciāla (GSP)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un vienādo ēku energosnieguma regulējumu, veidojot skaidrāku un prognozējamāku normatīvo ietvaru būvniecības nozarei. Tas veicina sistemātisku energoefektivitātes, atjaunojamo energoresursu un klimata apsvērumu integrēšanu projektēšanas, būvniecības un ēku atjaunošanas procesos, vienlaikus paredzot elastīgu prasību piemērošanu atbilstoši tehniskajiem un ekonomiskajiem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pastiprina nepieciešamību projekta izstrādātājiem jau projektēšanas stadijā lielāku uzmanību pievērst augstas efektivitātes risinājumiem, kas vērsti uz ēku energosnieguma palielināšanu un ilgtermiņa enerģijas patēriņa samazināšanu. Kopumā likumprojekts orientē būvniecības nozari uz ilgtermiņa, izmaksoptimāliem un ilgtspējīgiem risinājumiem, vienlaikus samazinot interpretācijas riskus un nodrošinot tiesisko noteiktību nozares dalībniekiem.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1.Likumprojekts paredz ekspluatācijas emisiju aprēķina pienākuma nostiprināšanu likuma līmenī visām ēkām, kā arī jaunu pienākumu jaunām ēkām veikt globālās sasilšanas potenciāla (GSP) aprēķinu. Ekspluatācijas emisiju aprēķins praksē jau tiek veikts, līdz ar to nostiprināšana nerada papildu administratīvo slogu.
Savukārt GSP aprēķina ieviešana jaunām ēkām rada papildu administratīvo slogu būvniecības procesa dalībniekiem, jo paredz jauna veida aprēķinu veikšanu, papildu datu apkopošanu un analīzi ēku projektēšanas procesā. Administratīvā sloga apmēru nav iespējams precīzi kvantificēt, jo tas būs atkarīgs no konkrētā projekta sarežģītības, ēkas veida, izmantotajiem būvmateriāliem, projektēšanas risinājumiem, kā arī no iesaistīto pušu pieredzes un pieejamajiem metodiskajiem rīkiem.
Vienlaikus paredzētais regulējums veicina pakāpenisku pāreju uz ēku dzīves cikla klimata ietekmes izvērtēšanu un ilgtermiņā sekmē vienotākas un prognozējamākas prasību piemērošanas prakses izveidi, kas var mazināt interpretācijas riskus un administratīvo slogu nākotnē.</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Likumprojekts paredz ekspluatācijas emisiju aprēķina pienākuma nostiprināšanu likuma līmenī visām ēkām, kā arī jaunu pienākumu jaunām ēkām veikt globālās sasilšanas potenciāla (GSP) aprēķinu. Ekspluatācijas emisiju aprēķins praksē jau tiek veikts, līdz ar to nostiprināšana nerada papildu administratīvo slogu.
Savukārt GSP aprēķina ieviešana jaunām ēkām rada papildu administratīvo slogu būvniecības procesa dalībniekiem, jo paredz jauna veida aprēķinu veikšanu, papildu datu apkopošanu un analīzi ēku projektēšanas procesā. Administratīvā sloga apmēru nav iespējams precīzi kvantificēt, jo tas būs atkarīgs no konkrētā projekta sarežģītības, ēkas veida, izmantotajiem būvmateriāliem, projektēšanas risinājumiem, kā arī no iesaistīto pušu pieredzes un pieejamajiem metodiskajiem rīkiem.
Vienlaikus paredzētais regulējums veicina pakāpenisku pāreju uz ēku dzīves cikla klimata ietekmes izvērtēšanu un ilgtermiņā sekmē vienotākas un prognozējamākas prasību piemērošanas prakses izveidi, kas var mazināt interpretācijas riskus un administratīvo slogu nākotnē.</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publiskā sektora subjektu ēku atjaunošanas pienākuma finansiālā ietekme uz valsts budžetu un pašvaldību budžetiem pašlaik nav novērtējama. Tās apmērs būs atkarīgs no attiecīgajā gadā atjaunojamo ēku platības un tehniskā stāvokļa, izvēlētajiem atjaunošanas risinājumiem un to izmaksām, kā arī ēku atjaunošanai pieejamā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8. aprīļa noteikumi Nr. 222 "Ēku energoefektivitātes aprēķina metodes un ēku energosertifikācijas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Pilnvarojuma tvērums ir formulēts tā, lai Ministru kabineta noteikumos būtu iespējams noteikt prasības un metodikas, kas nepieciešamas Direktīvas 2024/1275 prasību praktiskai piemērošanai, tostarp prasības bezemisiju ēkām, ēku atjaunošanas pases saturu, ēkas ekspluatācijas siltumnīcefekta gāzu emisiju aprēķina metodiku un ēkas dzīves cikla globālās sasilšanas potenciāla aprēķina metodiku. Minētie jautājumi ietver gan ēkas energosnieguma, inženiersistēmu, energoapgādes un emisiju novērtēšanas prasības, gan aprēķinu veikšanai nepieciešamos datus, piemērošanas nosacījumus un prasību izpildes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bezemisiju ēkām Ministru kabineta noteikumos paredzēts noteikt prasības, kas nepieciešamas šā ēkas līmeņa sasniegšanai un novērtēšanai, tostarp prasības ēkas energosniegumam, ēkas inženiersistēmām, energoapgādei, ekspluatācijas siltumnīcefekta gāzu emisijām un citiem ar bezemisiju ēkas prasību izpildi saistītiem tehniskajiem nosacījumiem. Šāds regulējums nepieciešams, lai nodrošinātu Direktīvā 2024/1275 paredzēto bezemisiju ēku prasību pārņemšanu un praktisku piemērošanu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pilnvarojums nepieciešams, jo minētie jautājumi ir tehniski un savstarpēji saistīti, kā arī var tikt precizēti Eiropas Savienības tiesību aktu piemērošanas gaitā, piemērojamajos standartos, metodikās vai vadlīnijās. Līdz ar to pilnvarojumam jānodrošina iespēja Ministru kabineta noteikumos pilnvērtīgi noteikt nepieciešamo tehnisko regulējumu, neveicot atkārtotus grozījumus likumā katras atsevišķas tehniskas prasības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pilnvarojums nav uzskatāms par pārmērīgi plašu, jo tas ir sasaistīts ar konkrētiem regulējamiem jautājumiem — bezemisiju ēku prasībām, atjaunošanas pases saturu, ēkas ekspluatācijas siltumnīcefekta gāzu emisiju aprēķinu un ēkas dzīves cikla globālās sasilšanas potenciāla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Nr. 2024/1275 par ēku energosniegumu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2024. gada 24. aprīļa direktīva (ES) Nr. 2024/1275 par ēku energosniegumu preambulas 83.punktam, projekta ietvaros transponētas tikai tās normas, kas ieviestas pilnībā no jauna vai kurām no iepriekš transponētajām normām ir veiktas izmaiņas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direktīva (ES) Nr. 2023/1791 par energoefektivitāti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Nr. 2024/1275 par ēku energosniegumu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[jauns 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 [jauna 9.panta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[jauns 1.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[precizēts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[jauns 1.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[jauns 1.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pants [jauna 8.panta 6.</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[jauna 8.panta 3.</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un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[jauna 8.panta 3.</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[jauns 1.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[jauns 1.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56., 57. un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 [precizēts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[jauns 3. panta otrās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 un 14.pants [jauna 8.panta 3.</w:t>
            </w:r>
            <w:r w:rsidR="00000000" w:rsidRPr="00000000" w:rsidDel="00000000">
              <w:rPr>
                <w:sz w:val="24"/>
                <w:vertAlign w:val="superscript"/>
                <w:rtl w:val="0"/>
              </w:rPr>
              <w:t xml:space="preserve">2</w:t>
            </w:r>
            <w:r w:rsidR="00000000" w:rsidRPr="00000000" w:rsidDel="00000000">
              <w:rPr>
                <w:sz w:val="24"/>
                <w:rtl w:val="0"/>
              </w:rPr>
              <w:t xml:space="preserve"> daļa, 9. daļa un pārejas noteikumu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2024/1275 7.panta 2. punkts likumprojektā pārņemts daļēji, paredzot pilnvarojumu Ministru kabinetam noteikt ēkas dzīves cikla globālās sasilšanas potenciāla aprēķina metodiku un tās piemērošanas kārtību. Konkrētas prasības tiks noteiktas Ministru kabineta 2021. gada 8. aprīļa noteikumos Nr. 222 "Ēku energoefektivitātes aprēķina metodes un ēku energosertifikācijas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 [jauns pārejas noteikumu 13.punts]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tiek pārņemts Direktīvas 2024/1275 7.panta 4.punkts tikai attiecībā uz 7. panta 2. punktu. Direktīvas 2024/1275 7. panta 1. punkta prasības par jaunu ēku atbilstību nulles emisiju ēkas prasībām tiek pārņemtas Ministru kabineta noteikumu projektā "Grozījumi Ministru kabineta 2021. gada 19. oktobra noteikumos Nr. 693 "Būvju vispārīgo prasību būvnormatīvs LBN 200-21"" (25-TA-1187), kurā noteiktas attiecīgās prasības jaunām ēkām un to piemērošanas termiņi.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[jauns 3. panta otrās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 [jauna 9.panta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2024/1275 11. panta 1. un 7. punkta prasības ar likumprojektu tiek pārņemtas daļēji. Likumprojektā ietvertā likuma 1. panta 10. punktā ir noteikts bezemisiju ēkas jēdziens un tās būtiskās pazīmes, savukārt likumprojektā paredzēts pilnvarojums Ministru kabinetam noteikt detalizētas prasības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Pilnīga Direktīvas (ES) 2024/1275 11. panta 1. un 7. punkta prasību pārņemšana tiks nodrošināta, izdarot grozījumus Ministru kabineta 2021. gada 8. aprīļa noteikumos Nr. 222 "Ēku energoefektivitātes aprēķina metodes un ēku energosertifikācijas noteikumi". Tajos tiks detalizētas prasības bezemisiju ēku energosniegumam, enerģijas izmantošanai un tās nodrošināšanai no Direktīvā (ES) 2024/1275 paredzētajiem enerģijas avotiem, kā arī citi direktīvas 11. pantā noteiktie tehniskie nosacījumi.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2., 3., 4.,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un 11. pants [jauna 8.panta 6.</w:t>
            </w:r>
            <w:r w:rsidR="00000000" w:rsidRPr="00000000" w:rsidDel="00000000">
              <w:rPr>
                <w:sz w:val="24"/>
                <w:vertAlign w:val="superscript"/>
                <w:rtl w:val="0"/>
              </w:rPr>
              <w:t xml:space="preserve">1</w:t>
            </w:r>
            <w:r w:rsidR="00000000" w:rsidRPr="00000000" w:rsidDel="00000000">
              <w:rPr>
                <w:sz w:val="24"/>
                <w:rtl w:val="0"/>
              </w:rPr>
              <w:t xml:space="preserve"> daļa un 12.panta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 [jauna 8.panta 6.</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12.pants [precizēts 13.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 [jauna 12.panta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4.punkta c) un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 [jauns 6.panta trešās daļas 11. 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5. punkta e) un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 [jauns 6.panta trešās daļas 11. 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un 10. pants [Jauna 8. Panta 3.</w:t>
            </w:r>
            <w:r w:rsidR="00000000" w:rsidRPr="00000000" w:rsidDel="00000000">
              <w:rPr>
                <w:sz w:val="24"/>
                <w:vertAlign w:val="superscript"/>
                <w:rtl w:val="0"/>
              </w:rPr>
              <w:t xml:space="preserve">2</w:t>
            </w:r>
            <w:r w:rsidR="00000000" w:rsidRPr="00000000" w:rsidDel="00000000">
              <w:rPr>
                <w:sz w:val="24"/>
                <w:rtl w:val="0"/>
              </w:rPr>
              <w:t xml:space="preserve"> daļa un 8.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2024/1275 III pielikums likumprojektā pārņemts daļēji, paredzot pilnvarojumu Ministru kabinetam noteikt ēkas dzīves cikla globālās sasilšanas potenciāla aprēķina metodiku un tās piemērošanas kārtību. Konkrētas prasības tiks noteiktas Ministru kabineta 2021. gada 8. aprīļa noteikumos Nr. 222 "Ēku energoefektivitātes aprēķina metodes un ēku energosertifikācijas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2024/1275 paredzētā dalībvalsts rīcības brīvība izmantota attiecībā uz šīs direktīvas 5. pantā un 9. pantā noteiktajiem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2024/1275 5. pantā paredzētā rīcības brīvība izmantota, paredzot, ka minimālās energosnieguma prasības var netikt piemērotas vai to piemērošana var tikt pielāgota tām ēku kategorijām, attiecībā uz kurām direktīva pieļauj šādu atkāpi. Tas attiecas uz ēkām, kuru īpašais statuss, izmantošanas mērķis, lietošanas raksturs, tehniskās īpašības vai zemais energopatēriņš pamato atšķirīgu pieeju minimālo energosnieguma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2024/1275 9. pantā paredzētā rīcības brīvība izmantota, paredzot izņēmumus no minimālo energosnieguma standartu piemērošanas esošām nedzīvojamām ēkām tām ēku kategorijām vai gadījumiem, kuros pati direktīva pieļauj šādu izņēmumu noteikšanu. Šāda pieeja nodrošina, ka minimālie energosnieguma standarti netiek mehāniski attiecināti uz ēkām, kuru atjaunošana attiecīgajā apjomā var būt objektīvi nepiemērota, tehniski apgrūtināta vai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Ēku energoefektivitātes likumā ietvertās prasības ir savstarpēji saistītas un veido vienotu ēku energoefektivitātes regulējumu. Tādēļ attiecībā uz likuma 3. panta otrajā daļā minētajām ēku kategorijām ir saglabāts izņēmums no likuma prasību piemērošanas kopumā, nevis paredzēta atsevišķu prasību selektīva nepiemērošana. Ja attiecīgajām ēkām nav samērīgi piemērot minimālās energosnieguma prasības, nav samērīgi tām piemērot arī citas ar ēkas energosniegumu cieši saistītas prasības, piemēram, par atjaunojamās enerģijas izmantošanu, ēku inženiertehniskajām sistēmām vai citas prasības, kas saistītas ar ēkas energosnieguma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 rīcības brīvība izmantota, lai nodrošinātu samērīgu Direktīvas 2024/1275 prasību pārņemšanu, vienlaikus saglabājot direktīvas pamatmērķi — pakāpeniski uzlabot ēku energoefektivitāti un virzīt ēku fondu uz bezemisiju ēku līmeni. Izņēmumi tiek piemēroti tikai tajā apmērā, kādā to pieļauj Direktīva 2024/1275, un tie nav paredzēti plašāk par direktīvā noteikto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2024/1275 7. panta 4. punktā paredzētā rīcības brīvība ir izmantota, lai jaunās prasības neattiecinātu uz būvniecības iecerēm, kuru īstenošana uzsākta vai saskaņošana uzsākta pirms attiecīgo prasību piemērošanas termiņa. Šāda pieeja izvēlēta, lai mazinātu administratīvo un finansiālo slogu, kā arī nodrošinātu tiesisko paļāvību personām, kuras būvniecības ieceri sagatavojušas atbilstoši iepriekš spēkā esošajām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2024/1275 12. panta 2., un 3. punktā paredzētā rīcības brīvība ir izmantota, lai atjaunošanas pases regulējumu ieviestu, pēc iespējas sasaistot to ar jau esošo ēku energosertifikācijas kārtību un Būvniecības informācijas sistēmu. Atjaunošanas pase tiek veidota kā ēkas pakāpeniskas atjaunošanas plānošanas instruments, nevis kā jauns paralēls administratīvs process. Šāda pieeja izvēlēta, lai nepalielinātu administratīvo slogu ēku īpašniekiem un pārvaldniekiem.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13. septembra direktīva (ES) Nr. 2023/1791 par energoefektivitāti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[jauns 3.</w:t>
            </w:r>
            <w:r w:rsidR="00000000" w:rsidRPr="00000000" w:rsidDel="00000000">
              <w:rPr>
                <w:sz w:val="24"/>
                <w:vertAlign w:val="superscript"/>
                <w:rtl w:val="0"/>
              </w:rPr>
              <w:t xml:space="preserve">1</w:t>
            </w:r>
            <w:r w:rsidR="00000000" w:rsidRPr="00000000" w:rsidDel="00000000">
              <w:rPr>
                <w:sz w:val="24"/>
                <w:rtl w:val="0"/>
              </w:rPr>
              <w:t xml:space="preserve"> pants, 3.</w:t>
            </w:r>
            <w:r w:rsidR="00000000" w:rsidRPr="00000000" w:rsidDel="00000000">
              <w:rPr>
                <w:sz w:val="24"/>
                <w:vertAlign w:val="superscript"/>
                <w:rtl w:val="0"/>
              </w:rPr>
              <w:t xml:space="preserve">1</w:t>
            </w:r>
            <w:r w:rsidR="00000000" w:rsidRPr="00000000" w:rsidDel="00000000">
              <w:rPr>
                <w:sz w:val="24"/>
                <w:rtl w:val="0"/>
              </w:rPr>
              <w:t xml:space="preserve"> panta pirmā,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[jauna 14 panta, 3.</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[jauns 3.</w:t>
            </w:r>
            <w:r w:rsidR="00000000" w:rsidRPr="00000000" w:rsidDel="00000000">
              <w:rPr>
                <w:sz w:val="24"/>
                <w:vertAlign w:val="superscript"/>
                <w:rtl w:val="0"/>
              </w:rPr>
              <w:t xml:space="preserve">1</w:t>
            </w:r>
            <w:r w:rsidR="00000000" w:rsidRPr="00000000" w:rsidDel="00000000">
              <w:rPr>
                <w:sz w:val="24"/>
                <w:rtl w:val="0"/>
              </w:rPr>
              <w:t xml:space="preserve"> pants, 3.</w:t>
            </w:r>
            <w:r w:rsidR="00000000" w:rsidRPr="00000000" w:rsidDel="00000000">
              <w:rPr>
                <w:sz w:val="24"/>
                <w:vertAlign w:val="superscript"/>
                <w:rtl w:val="0"/>
              </w:rPr>
              <w:t xml:space="preserve">1</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[jauns 3.</w:t>
            </w:r>
            <w:r w:rsidR="00000000" w:rsidRPr="00000000" w:rsidDel="00000000">
              <w:rPr>
                <w:sz w:val="24"/>
                <w:vertAlign w:val="superscript"/>
                <w:rtl w:val="0"/>
              </w:rPr>
              <w:t xml:space="preserve">1</w:t>
            </w:r>
            <w:r w:rsidR="00000000" w:rsidRPr="00000000" w:rsidDel="00000000">
              <w:rPr>
                <w:sz w:val="24"/>
                <w:rtl w:val="0"/>
              </w:rPr>
              <w:t xml:space="preserve"> pants, 3.</w:t>
            </w:r>
            <w:r w:rsidR="00000000" w:rsidRPr="00000000" w:rsidDel="00000000">
              <w:rPr>
                <w:sz w:val="24"/>
                <w:vertAlign w:val="superscript"/>
                <w:rtl w:val="0"/>
              </w:rPr>
              <w:t xml:space="preserve">1</w:t>
            </w:r>
            <w:r w:rsidR="00000000" w:rsidRPr="00000000" w:rsidDel="00000000">
              <w:rPr>
                <w:sz w:val="24"/>
                <w:rtl w:val="0"/>
              </w:rPr>
              <w:t xml:space="preserve">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[jauns 3.</w:t>
            </w:r>
            <w:r w:rsidR="00000000" w:rsidRPr="00000000" w:rsidDel="00000000">
              <w:rPr>
                <w:sz w:val="24"/>
                <w:vertAlign w:val="superscript"/>
                <w:rtl w:val="0"/>
              </w:rPr>
              <w:t xml:space="preserve">1</w:t>
            </w:r>
            <w:r w:rsidR="00000000" w:rsidRPr="00000000" w:rsidDel="00000000">
              <w:rPr>
                <w:sz w:val="24"/>
                <w:rtl w:val="0"/>
              </w:rPr>
              <w:t xml:space="preserve"> pants, 3.</w:t>
            </w:r>
            <w:r w:rsidR="00000000" w:rsidRPr="00000000" w:rsidDel="00000000">
              <w:rPr>
                <w:sz w:val="24"/>
                <w:vertAlign w:val="superscript"/>
                <w:rtl w:val="0"/>
              </w:rPr>
              <w:t xml:space="preserve">1</w:t>
            </w:r>
            <w:r w:rsidR="00000000" w:rsidRPr="00000000" w:rsidDel="00000000">
              <w:rPr>
                <w:sz w:val="24"/>
                <w:rtl w:val="0"/>
              </w:rPr>
              <w:t xml:space="preserve">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[jauns 3.</w:t>
            </w:r>
            <w:r w:rsidR="00000000" w:rsidRPr="00000000" w:rsidDel="00000000">
              <w:rPr>
                <w:sz w:val="24"/>
                <w:vertAlign w:val="superscript"/>
                <w:rtl w:val="0"/>
              </w:rPr>
              <w:t xml:space="preserve">1</w:t>
            </w:r>
            <w:r w:rsidR="00000000" w:rsidRPr="00000000" w:rsidDel="00000000">
              <w:rPr>
                <w:sz w:val="24"/>
                <w:rtl w:val="0"/>
              </w:rPr>
              <w:t xml:space="preserve"> pants, 3.</w:t>
            </w:r>
            <w:r w:rsidR="00000000" w:rsidRPr="00000000" w:rsidDel="00000000">
              <w:rPr>
                <w:sz w:val="24"/>
                <w:vertAlign w:val="superscript"/>
                <w:rtl w:val="0"/>
              </w:rPr>
              <w:t xml:space="preserve">1</w:t>
            </w:r>
            <w:r w:rsidR="00000000" w:rsidRPr="00000000" w:rsidDel="00000000">
              <w:rPr>
                <w:sz w:val="24"/>
                <w:rtl w:val="0"/>
              </w:rPr>
              <w:t xml:space="preserve"> panta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6. panta 1. punkta otrajā un trešajā daļā paredzētā rīcības brīvība ir izmantota, lai 3 procentu ikgadējās atjaunošanas pienākumu piemērotu samērīgi, ņemot vērā ēku atjaunošanas tehnisko iespējamību, izmaksu efektivitāti un paredzamo energoefektivitātes ieguvumu. Netiek noteiktas stingrākas prasības gadījumos, kuros pati direktīva pieļauj elastīgāku pieeju, lai neradītu nesamērīgu administratīvo un finansiālo slogu publisku personu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6. panta 2. punktā paredzētā rīcības brīvība netiek izmantota kā vispārējs atbrīvojums no publiskā sektora subjektu īpašumā esošo ēku atjaunošanas pienākuma. Likumprojektā publiskā sektora ēku atjaunošanas pienākuma piemērošanas joma noteikta patstāvīgi, nevis mehāniski pārņemot visus Ēku energoefektivitātes likuma 3. panta otrajā daļā noteiktos izņēmumus. Vienlaikus jāņem vērā, ka Ministru kabineta 2021. gada 8. aprīļa noteikumos Nr. 222 "Ēku energoefektivitātes aprēķina metodes un ēku energosertifikācijas noteikumi" jau šobrīd atsevišķām ēku grupām ir noteiktas diferencētas prasības, lai ēku varētu uzskatīt par gandrīz nulles enerģijas ēku. Līdz ar to Direktīvas 2023/1791 6. panta 2. punktā paredzētā elastība tiek īstenota nevis kā ēku pilnīga izslēgšana no pienākuma, bet gan caur gandrīz nulles enerģijas ēkas prasību līmeņa noteikšanu. Attiecībā uz ēkām, kas minētas Direktīvas 2023/1791 6. panta 2. punktā, šīs prasības nepieciešamības gadījumā var tikt pārskatītas, nosakot samērīgu un attiecīgās ēku grupas specifikai atbilstošu prasību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6. panta 4. punktā paredzētā rīcības brīvība ir izmantota, lai ikgadējā atjaunošanas pienākuma izpildē varētu ņemt vērā jaunas publisku personu īpašumā esošas ēkas, ja tās aizstāj iepriekš publisku personu īpašumā bijušas neenergoefektīvas ēkas, kuras vairs nav publiskas personas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Šāda pieeja pamatota ar Latvijas situāciju, kurā publiskā sektora jaunu ēku būvniecība parasti nav pašmērķīga papildu ēku fonda palielināšana, bet ir saistīta ar vecu, tehniski un funkcionāli novecojušu, kā arī neenergoefektīvu ēku atbrīvošanu, nojaukšanu vai atsavināšanu. Līdz ar to jaunā ēka pēc būtības aizstāj iepriekš izmantotu publiskā sektora ēku, kuras turpmāka atjaunošana publiskā sektora funkciju nodrošināšanai vairs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Vecas ēkas atjaunošana ne vienmēr ir salīdzināma ar jaunas ēkas būvniecību, jo izšķiroša nozīme ir ēkas īpašniekam vai lietotājam nepieciešamajai funkcijai. Īpaši vecās ēkās mūsdienīgu energosnieguma prasību sasniegšanu var būtiski ierobežot esošās konstrukcijas, plānojums un inženiersistēmu izvietošanas iespējas. Ja šāda ēka tiek aizstāta ar jaunu, funkcionāli piemērotu un energoefektīvu ēku, publiskā sektora ēku fonda energosniegums kopumā tiek uzlabots.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vispārīgo kritēriju šādas rīcības brīvības piemērošanai tiek noteikts fakts, ka iepriekšējā neenergoefektīvā publiskas personas ēka vairs nav publiskas personas īpašumā, bet publiska persona tās vietā iegūst jaunu ēku publiskā sektora funkcijas nodrošināšanai. Šādā gadījumā jaunās ēkas ieskaitīšana ikgadējā atjaunošanas pienākuma izpildē ir atbilstoša direktīvas mērķim — uzlabot publiskā sektora ēku energosniegumu un mazināt neenergoefektīvu ēku īpatsvaru publiskā sektora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6. panta 6. punktā paredzētā rīcības brīvība netiek izmantota, jo Latvija piemēro direktīvas 6. pantā noteikto pamatpieeju — ikgadēju 3 procentu publisku personu īpašumā esošo ēku kopējās platības atjaunošanu. Alternatīvās pieejas neizmantošana izvēlēta, lai nodrošinātu skaidru un pārskatāmu pienākuma piemērošanu, nepārveidojot direktīvā noteikto prasību par atsevišķu enerģijas ietaupījuma aprēķina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https://tapportals.mk.gov.lv/public_participation/577370fc-d09d-417b-b0ba-5f0c23f03fdb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atzinumi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vienlaicīgi ar starpinstitūciju saskaņošanu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publisko tiesību juridiskās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Visas publisko tiesību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Likumprojekts nosaka pienākumu publisko personu iestādēm katru gadu atjaunot vismaz 3 procentus no to īpašumā esošo atjaunojamo ēku kopējā lietderīgā iekštelpu platības, kas noteikta pēc publisko personu iestāžu īpašumā esošo ēku kopējās izmantojamās ēku kopējā lietderīgā iekštelpu platības 2024. gada 1. janvārī. Aprēķinā tiek iekļautas ēkas, kuru kopējā lietderīgā iekštelpu platība pārsniedz 250 m² un kuras minētajā datumā nav gandrīz nulles enerģijas ēkas. Vienlaikus likumprojekts paredz iespēju noteiktām ēku grupām piemērot izņēmumus.
Līdz ar to publisko personu iestādēm var rasties izmaksas, kas saistītas ar ēku energosnieguma līmeņa izvērtēšanu, atjaunošanas pasākumu plānošanu un īstenošanu, kā arī izņēmumu piemērošanas pamatojuma sagatavošanu gadījumos, kad tas ir nepieciešams.
Vienlaikus izmaksu apmēru nav iespējams precīzi noteikt, jo tas būs atšķirīgs katrai publisko personu iestādei un katrai ēkai atsevišķi. Sloga apmēru ietekmēs vairāki faktori, tostarp konkrētās ēkas veids, tās tehniskais stāvoklis, esošais energosnieguma līmenis, plānotais atjaunošanas apjoms, kā arī attiecīgās iestādes rīcībā esošie finanšu un administratīvie resursi. Papildu nenoteiktību rada arī tas, ka Ministru kabinetam tiks deleģēts noteikt izņēmumu piemērošanas kārtību, kas ietekmēs praktisko prasību piemērošanas apjomu un ar to saistīto administratīvo slogu.
2.Likumprojekts paredz ekspluatācijas emisiju aprēķina pienākuma nostiprināšanu likuma līmenī visām ēkām, kā arī jaunu pienākumu jaunām ēkām veikt globālās sasilšanas potenciāla (GSP) aprēķinu. Ekspluatācijas emisiju aprēķins praksē jau tiek veikts, līdz ar to nostiprināšana nerada papildu administratīvo slogu.
Savukārt GSP aprēķina ieviešana jaunām ēkām rada papildu administratīvo slogu būvniecības procesa dalībniekiem, jo paredz jauna veida aprēķinu veikšanu, papildu datu apkopošanu un analīzi ēku projektēšanas procesā. Administratīvā sloga apmēru nav iespējams precīzi kvantificēt, jo tas būs atkarīgs no konkrētā projekta sarežģītības, ēkas veida, izmantotajiem būvmateriāliem, projektēšanas risinājumiem, kā arī no iesaistīto pušu pieredzes un pieejamajiem metodiskajiem rīkiem.
Vienlaikus paredzētais regulējums veicina pakāpenisku pāreju uz ēku dzīves cikla klimata ietekmes izvērtēšanu un ilgtermiņā sekmē vienotākas un prognozējamākas prasību piemērošanas prakses izveidi, kas var mazināt interpretācijas riskus un administratīvo slogu nākotnē.</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ēku energosnieguma uzlabošanu, primārās enerģijas patēriņa un siltumnīcefekta gāzu emisiju samazināšanu, kā arī atjaunojamo energoresursu izmantošanu. Ilgtermiņā tas pozitīvi ietekmē vidi, sekmējot ēku fonda dekarbonizāciju un klimata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ēku energosnieguma uzlabošanu, primārās enerģijas patēriņa un siltumnīcefekta gāzu emisiju samazināšanu, kā arī atjaunojamo energoresursu izmantošanu. Ilgtermiņā tas pozitīvi ietekmē vidi, sekmējot ēku fonda dekarbonizāciju un klimata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25-TA-2969</w:t>
    </w:r>
    <w:r>
      <w:br/>
    </w:r>
    <w:r w:rsidR="00000000" w:rsidRPr="00000000" w:rsidDel="00000000">
      <w:rPr>
        <w:rtl w:val="0"/>
      </w:rPr>
      <w:t xml:space="preserve">Izdrukāts 29.09.2026. 14.43 - 1.0.VK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25-TA-2969</w:t>
    </w:r>
    <w:r>
      <w:br/>
    </w:r>
    <w:r w:rsidR="00000000" w:rsidRPr="00000000" w:rsidDel="00000000">
      <w:rPr>
        <w:rtl w:val="0"/>
      </w:rPr>
      <w:t xml:space="preserve">Izdrukāts 29.09.2026. 14.43 - 1.0.VK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anotācija_(ex_ante)_25-TA-2969.docx</dc:title>
</cp:coreProperties>
</file>

<file path=docProps/custom.xml><?xml version="1.0" encoding="utf-8"?>
<Properties xmlns="http://schemas.openxmlformats.org/officeDocument/2006/custom-properties" xmlns:vt="http://schemas.openxmlformats.org/officeDocument/2006/docPropsVTypes"/>
</file>