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10. janvāra noteikumos Nr. 10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nodrošinātu atbalsta piešķiršanu atbilstoši spēkā esošiem </w:t>
      </w:r>
      <w:r w:rsidR="00000000" w:rsidRPr="00000000" w:rsidDel="00000000">
        <w:rPr>
          <w:i w:val="1"/>
          <w:rtl w:val="0"/>
        </w:rPr>
        <w:t xml:space="preserve">de minimis</w:t>
      </w:r>
      <w:r w:rsidR="00000000" w:rsidRPr="00000000" w:rsidDel="00000000">
        <w:rPr>
          <w:rtl w:val="0"/>
        </w:rPr>
        <w:t xml:space="preserve"> nosacījumiem un precizētu atbalsta piešķiršanas kārtību gala labuma guvējam.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atbalsta piešķiršanu atbilstoši spēkā esošiem </w:t>
      </w:r>
      <w:r w:rsidR="00000000" w:rsidRPr="00000000" w:rsidDel="00000000">
        <w:rPr>
          <w:i w:val="1"/>
          <w:rtl w:val="0"/>
        </w:rPr>
        <w:t xml:space="preserve">de minimis</w:t>
      </w:r>
      <w:r w:rsidR="00000000" w:rsidRPr="00000000" w:rsidDel="00000000">
        <w:rPr>
          <w:rtl w:val="0"/>
        </w:rPr>
        <w:t xml:space="preserve"> nosacījumiem sakarā ar jaunās Eiropas Komisijas regulas spēkā stāšanos, kā arī precizēt Latvijas Investīciju un attīstības aģentūras atbalsta piešķiršanas kārtību, tādējādi samazinot iesniedzamās informācijas apjomu gala labuma guvējam.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10. janvāra noteikumi Nr.10 "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 (turpmāk – MK noteikumi Nr. 10) nosaka kārtību, kādā Latvijas Investīciju un attīstības aģentūra nodrošina atbalstu uzņēmumu digitālās transformācijas nodrošināšanai. MK noteikumos Nr. 10 iekļautas </w:t>
      </w:r>
      <w:r w:rsidR="00000000" w:rsidRPr="00000000" w:rsidDel="00000000">
        <w:rPr>
          <w:i w:val="1"/>
          <w:rtl w:val="0"/>
        </w:rPr>
        <w:t xml:space="preserve">de minimis </w:t>
      </w:r>
      <w:r w:rsidR="00000000" w:rsidRPr="00000000" w:rsidDel="00000000">
        <w:rPr>
          <w:rtl w:val="0"/>
        </w:rPr>
        <w:t xml:space="preserve">atbalsta normas, kuras 2023. gada 31. decembrī zaudējušas spēku, lai nodrošinātu atbilstošu atbalsta sniegšanu, nepieciešams precizēt </w:t>
      </w:r>
      <w:r w:rsidR="00000000" w:rsidRPr="00000000" w:rsidDel="00000000">
        <w:rPr>
          <w:i w:val="1"/>
          <w:rtl w:val="0"/>
        </w:rPr>
        <w:t xml:space="preserve">de minimis</w:t>
      </w:r>
      <w:r w:rsidR="00000000" w:rsidRPr="00000000" w:rsidDel="00000000">
        <w:rPr>
          <w:rtl w:val="0"/>
        </w:rPr>
        <w:t xml:space="preserve"> atbalsta nosacījumus atbilstoši pārizdotajai </w:t>
      </w:r>
      <w:r w:rsidR="00000000" w:rsidRPr="00000000" w:rsidDel="00000000">
        <w:rPr>
          <w:i w:val="1"/>
          <w:rtl w:val="0"/>
        </w:rPr>
        <w:t xml:space="preserve">de minimis</w:t>
      </w:r>
      <w:r w:rsidR="00000000" w:rsidRPr="00000000" w:rsidDel="00000000">
        <w:rPr>
          <w:rtl w:val="0"/>
        </w:rPr>
        <w:t xml:space="preserve"> regulai. Vienlaikus, lai nodrošinātu atbalsta piešķiršanu atbilstoši Atveseļošanas un noturības mehānisma (turpmāk – Atveseļošanas fonda) nosacījumiem, 2.2.1.2.i. investīcijas "Atbalsts procesu digitalizācijai komercdarbībā" (turpmāk - 2.2.1.2.i. investīcija) īstenošanā Latvijas Investīciju un attīstības aģentūra pirms atbalsta piešķiršanas veic gala labuma guvēju pieteikumu izvērtēšanu gan attiecībā uz principa “nenodarīt būtisku kaitējumu”, gan saskaņā ar Eiropas digitālās inovācijas centra sniegto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Nr.10 paredz piešķirt </w:t>
      </w:r>
      <w:r w:rsidR="00000000" w:rsidRPr="00000000" w:rsidDel="00000000">
        <w:rPr>
          <w:i w:val="1"/>
          <w:rtl w:val="0"/>
        </w:rPr>
        <w:t xml:space="preserve">de minimis</w:t>
      </w:r>
      <w:r w:rsidR="00000000" w:rsidRPr="00000000" w:rsidDel="00000000">
        <w:rPr>
          <w:rtl w:val="0"/>
        </w:rPr>
        <w:t xml:space="preserve"> atbalstu gala labuma guvējiem saskaņā ar Komisijas 2013. gada 18. decembra Regula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2013. gada 24. decembris, Nr. L 352/1) (turpmāk – Komisijas Regula Nr. 1407/2013), Eiropas Komisijas 2014. gada 27. jūnija Regulu ES Nr. 717/2014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zvejniecības un akvakultūras nozarē (turpmāk – Komisijas regula Nr. 717/2014) un Eiropas Komisijas 2013. gada 18. decembra Regulu ES Nr. 1408/2013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lauksaimniecības nozarē (turpmāk – Komisijas regula Nr. 1408/2013). 2023. gada noslēgumā ar Komisijas 2023. gada 4. oktobra Regulu (ES) Nr. 2023/2391, ar ko attiecībā uz </w:t>
      </w:r>
      <w:r w:rsidR="00000000" w:rsidRPr="00000000" w:rsidDel="00000000">
        <w:rPr>
          <w:i w:val="1"/>
          <w:rtl w:val="0"/>
        </w:rPr>
        <w:t xml:space="preserve">de minimis</w:t>
      </w:r>
      <w:r w:rsidR="00000000" w:rsidRPr="00000000" w:rsidDel="00000000">
        <w:rPr>
          <w:rtl w:val="0"/>
        </w:rPr>
        <w:t xml:space="preserve"> atbalstu zvejas un akvakultūras produktu apstrādei un tirdzniecībai groza Regulas (ES) Nr. 717/2014, (ES) Nr. 1407/2013, (ES) Nr. 1408/2013 un (ES) Nr. 360/2012 un attiecībā uz vienam vienotam uzņēmumam piešķirtā </w:t>
      </w:r>
      <w:r w:rsidR="00000000" w:rsidRPr="00000000" w:rsidDel="00000000">
        <w:rPr>
          <w:i w:val="1"/>
          <w:rtl w:val="0"/>
        </w:rPr>
        <w:t xml:space="preserve">de minimis</w:t>
      </w:r>
      <w:r w:rsidR="00000000" w:rsidRPr="00000000" w:rsidDel="00000000">
        <w:rPr>
          <w:rtl w:val="0"/>
        </w:rPr>
        <w:t xml:space="preserve"> atbalsta kopējo summu, tā piemērošanas periodu un citiem jautājumiem groza Regulu (ES) Nr. 717/2014 veikti grozījumi Komisijas regulā Nr. 717/2014, kas stājusies spēkā ar 2023. gada 25. oktobri, un apstiprināta jaunā Komisijas 2023. gada 13. decembra Regula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(Eiropas Savienības Oficiālais Vēstnesis, 2023. gada 15. decembris) (turpmāk – Komisijas Regula Nr. 2023/2831), kas stājusies spēkā ar 2024. gada 1. janvāri. Attiecīgi nepieciešamas izmaiņas </w:t>
      </w:r>
      <w:r w:rsidR="00000000" w:rsidRPr="00000000" w:rsidDel="00000000">
        <w:rPr>
          <w:i w:val="1"/>
          <w:rtl w:val="0"/>
        </w:rPr>
        <w:t xml:space="preserve">de minimis</w:t>
      </w:r>
      <w:r w:rsidR="00000000" w:rsidRPr="00000000" w:rsidDel="00000000">
        <w:rPr>
          <w:rtl w:val="0"/>
        </w:rPr>
        <w:t xml:space="preserve"> atbalsta saņemšanas nosacījumos 2.2.1.2.i. investīcijā.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identificēta problēma, ka šobrīd ir ilgstošs atbalsta sniegšanas process Eiropas digitālās inovācijas centros un Latvijas Investīciju un attīstības aģentūrā, kas ir saistāms ar identisku prasību pārbaudi pirms komercdarbības atbalsta sniegšanas. 2.2.1.2.i. investīcijas īstenošanā Latvijas Investīciju un attīstības aģentūra pirms atbalsta piešķiršanas veic gala labuma guvēju pieteikumu izvērtēšanu attiecībā uz principa “nenodarīt būtisku kaitējumu”, gala labuma guvēja atbilstību grūtībās nonākuša uzņēmuma statusam, izvērtēšanas kritērijiem, neatbalstāmajām nozarēm un darbībām saskaņā ar MK noteikumu Nr. 10 prasībām un saskaņā ar Eiropas digitālās inovācijas centra sniegto informāciju – sākotnējo digitālā brieduma testu, digitālās attīstības ceļa karti, otrreizējo digitālā brieduma testu un atzinumu. Vienlaikus, lai gala labuma guvējs saņemtu digitālās attīstības ceļa karti, arī Eiropas digitālās inovācijas centrs 2.2.1.1.i. investīcijas Atbalsts Digitālo inovāciju centru un reģionālo kontaktpunktu izveidei” ietvaros veic gala labuma guvēja atbilstības izvērtējumu attiecībā uz principu “nenodarīt būtisku kaitējumu”, izvērtēšanas kritērijiem, neatbalstāmajām nozarēm un darbībām, tādējādi īsā laika posmā gala labuma guvējam jāiesniedz viena un tā pati informācija gan Latvijas Investīciju un attīstības aģentūrai, gan Eiropas digitālās inovācijas centram.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Veiktas izmaiņas, ņemot vērā jauno </w:t>
      </w:r>
      <w:r w:rsidR="00000000" w:rsidRPr="00000000" w:rsidDel="00000000">
        <w:rPr>
          <w:b w:val="1"/>
          <w:i w:val="1"/>
          <w:rtl w:val="0"/>
        </w:rPr>
        <w:t xml:space="preserve">de minimis</w:t>
      </w:r>
      <w:r w:rsidR="00000000" w:rsidRPr="00000000" w:rsidDel="00000000">
        <w:rPr>
          <w:b w:val="1"/>
          <w:rtl w:val="0"/>
        </w:rPr>
        <w:t xml:space="preserve">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ir veiktas izmaiņas saistībā ar Komisijas regulas Nr. 2023/2831 stāšanos spēkā.   Salīdzinoši ar iepriekšējo regulējumu, 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galvenās izmaiņas skar </w:t>
      </w:r>
      <w:r w:rsidR="00000000" w:rsidRPr="00000000" w:rsidDel="00000000">
        <w:rPr>
          <w:i w:val="1"/>
          <w:rtl w:val="0"/>
        </w:rPr>
        <w:t xml:space="preserve">de minimis</w:t>
      </w:r>
      <w:r w:rsidR="00000000" w:rsidRPr="00000000" w:rsidDel="00000000">
        <w:rPr>
          <w:rtl w:val="0"/>
        </w:rPr>
        <w:t xml:space="preserve"> atbalsta kopsummu, kas saskaņā ar Komisijas regulas Nr. 2023/2831 3. panta otro daļu var sasniegt 300 000 </w:t>
      </w:r>
      <w:r w:rsidR="00000000" w:rsidRPr="00000000" w:rsidDel="00000000">
        <w:rPr>
          <w:i w:val="1"/>
          <w:rtl w:val="0"/>
        </w:rPr>
        <w:t xml:space="preserve">euro </w:t>
      </w:r>
      <w:r w:rsidR="00000000" w:rsidRPr="00000000" w:rsidDel="00000000">
        <w:rPr>
          <w:rtl w:val="0"/>
        </w:rPr>
        <w:t xml:space="preserve">apmēru, vienlaikus ievērojot, ka atbalsta kopsumma nevienā trīs gadu periodā nepārsniedz maksimālo </w:t>
      </w:r>
      <w:r w:rsidR="00000000" w:rsidRPr="00000000" w:rsidDel="00000000">
        <w:rPr>
          <w:i w:val="1"/>
          <w:rtl w:val="0"/>
        </w:rPr>
        <w:t xml:space="preserve">de minimis</w:t>
      </w:r>
      <w:r w:rsidR="00000000" w:rsidRPr="00000000" w:rsidDel="00000000">
        <w:rPr>
          <w:rtl w:val="0"/>
        </w:rPr>
        <w:t xml:space="preserve"> atbalsta apmēru. Atbalsta kopsummu saskaņā ar Komisijas Regulu Nr. 2023/2831 viena vienota uzņēmuma līmenī iepriekšējo triju gadu periodā skaita no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atbalsta piešķiršanas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MK noteikumiem Nr.10 svītrota atsauce uz Komisijas regulu Nr. 717/2014 sakarā ar to, ka ar 2023. gada 25. oktobri stājusies spēkā Komisijas 2023. gada 4. oktobra Regula (ES) 2023/2391, ar ko attiecībā uz </w:t>
      </w:r>
      <w:r w:rsidR="00000000" w:rsidRPr="00000000" w:rsidDel="00000000">
        <w:rPr>
          <w:i w:val="1"/>
          <w:rtl w:val="0"/>
        </w:rPr>
        <w:t xml:space="preserve">de minimis</w:t>
      </w:r>
      <w:r w:rsidR="00000000" w:rsidRPr="00000000" w:rsidDel="00000000">
        <w:rPr>
          <w:rtl w:val="0"/>
        </w:rPr>
        <w:t xml:space="preserve"> atbalstu zvejas un akvakultūras produktu apstrādei un tirdzniecībai groza Regulas (ES) Nr. 717/2014, (ES) Nr. 1407/2013, (ES) Nr. 1408/2013 un (ES) Nr. 360/2012 un attiecībā uz vienam vienotam uzņēmumam piešķirtā </w:t>
      </w:r>
      <w:r w:rsidR="00000000" w:rsidRPr="00000000" w:rsidDel="00000000">
        <w:rPr>
          <w:i w:val="1"/>
          <w:rtl w:val="0"/>
        </w:rPr>
        <w:t xml:space="preserve">de minimis</w:t>
      </w:r>
      <w:r w:rsidR="00000000" w:rsidRPr="00000000" w:rsidDel="00000000">
        <w:rPr>
          <w:rtl w:val="0"/>
        </w:rPr>
        <w:t xml:space="preserve"> atbalsta kopējo summu, tā piemērošanas periodu un citiem jautājumiem groza Regulu (ES) Nr. 717/2014. Atbilstoši izdarītajiem grozījumiem turpmāk saskaņā ar Komisijas regulu Nr. 717/2014  </w:t>
      </w:r>
      <w:r w:rsidR="00000000" w:rsidRPr="00000000" w:rsidDel="00000000">
        <w:rPr>
          <w:i w:val="1"/>
          <w:rtl w:val="0"/>
        </w:rPr>
        <w:t xml:space="preserve">de minimis</w:t>
      </w:r>
      <w:r w:rsidR="00000000" w:rsidRPr="00000000" w:rsidDel="00000000">
        <w:rPr>
          <w:rtl w:val="0"/>
        </w:rPr>
        <w:t xml:space="preserve"> atbalstu paredz tikai primārai zvejniecībai un akvakultūrai, kā arī palielina vienam vienotam uzņēmumam trīs fiskālo gadu periodā piešķirtā </w:t>
      </w:r>
      <w:r w:rsidR="00000000" w:rsidRPr="00000000" w:rsidDel="00000000">
        <w:rPr>
          <w:i w:val="1"/>
          <w:rtl w:val="0"/>
        </w:rPr>
        <w:t xml:space="preserve">de minimis</w:t>
      </w:r>
      <w:r w:rsidR="00000000" w:rsidRPr="00000000" w:rsidDel="00000000">
        <w:rPr>
          <w:rtl w:val="0"/>
        </w:rPr>
        <w:t xml:space="preserve"> atbalsta kopējo summu līdz 40 000 </w:t>
      </w:r>
      <w:r w:rsidR="00000000" w:rsidRPr="00000000" w:rsidDel="00000000">
        <w:rPr>
          <w:i w:val="1"/>
          <w:rtl w:val="0"/>
        </w:rPr>
        <w:t xml:space="preserve">euro </w:t>
      </w:r>
      <w:r w:rsidR="00000000" w:rsidRPr="00000000" w:rsidDel="00000000">
        <w:rPr>
          <w:rtl w:val="0"/>
        </w:rPr>
        <w:t xml:space="preserve">ar noteikumu, ka dalībvalsts ir izveidojusi valsts centrālo reģistru. Atbilstoši ir precizēts Komisijas regulas Nr. 717/2014 piemērošanas periods, aizdevumu un garantiju piešķiršanas nosacījumi, kā arī precizēts dalībvalstīm noteiktais maksimālais atbalsta apmērs triju fiskālo gadu periodā. Attiecīgi Komisijas regulai Nr. 2023/2391 no 2023. gada 25. oktobra līdz 2023. gada 31. decembrim </w:t>
      </w:r>
      <w:r w:rsidR="00000000" w:rsidRPr="00000000" w:rsidDel="00000000">
        <w:rPr>
          <w:i w:val="1"/>
          <w:rtl w:val="0"/>
        </w:rPr>
        <w:t xml:space="preserve">de minimis</w:t>
      </w:r>
      <w:r w:rsidR="00000000" w:rsidRPr="00000000" w:rsidDel="00000000">
        <w:rPr>
          <w:rtl w:val="0"/>
        </w:rPr>
        <w:t xml:space="preserve"> atbalsts zvejniecības un akvakultūras produktu apstrādei ir piešķirams saskaņā ar Regulu Nr. 1407/2013, bet no 2024. gada 1. janvāra – saskaņā ar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Precizēta atbalsta saņemšanas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administratīvo slogu gala labuma guvējam un nodrošinātu ātru un ērtu komercdarbības atbalsta piešķiršanu gala labuma guvējam, vienlaikus nodrošinot visas atbilstības pārbaudes, ar Noteikumu projektu tiek noteikts, ka gala labuma guvējs, kas pretendē uz atbalsta saņemšanu Latvijas Investīciju un attīstības aģentūrā, var iesniegt atbalsta pieteikumu Latvijas Investīciju un attīstības aģentūrā pirms, vienlaikus vai pēc sākotnējā digitālā brieduma testa un pieteikuma ceļa kartes saņemšanai iesniegšanas Eiropas digitālās inovācijas centrā. Gadījumā, ja gala labuma guvējs nebūs iesniedzis sākotnējo digitālā brieduma testu un digitālās attīstības ceļa karti Latvijas Investīciju un attīstības aģentūrai kopā ar projekta pieteikumu, tie būs jāiesniedz līdz Latvijas Investīciju un attīstības aģentūras lēmuma par komercdarbības atbalsta piešķiršanu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kārtība paredz, ka līdz ar gala labuma guvēja projekta pieteikuma saņemšanu Latvijas Investīciju un attīstības aģentūra varēs uzsākt gala labuma guvēja izvērtēšanu, pēc tam ar starplēmumu informējot Eiropas digitālās inovācijas centru par izvērtējuma rezultātiem. Minētā kārtība nodrošina, ka Eiropas digitālās inovācijas centrs var izmantot Latvijas Investīciju un attīstības aģentūras starplēmumā iekļauto izvērtējumu arī gala labuma guvēja atbalsta pieteikuma izvērtēšanai un pakalpojumu nodrošināšanai 2.2.1.1.i. investīcijas ietvaros, tādējādi vairs nebūs nepieciešams atkārtoti veikt gala labuma guvēja pārbaudi attiecībā uz starplēmumā minēto atbilstības izvērtējumu, bet tas varēs veikt pārbaudes par digitālā brieduma testa un ceļa kartes izsniegšanai pozīcijām, ko Latvijas Investīciju aģentūra nebūs norādījusi starplēmumā, piemēram, komercdarbības atbalsta novērtējumu saskaņā ar </w:t>
      </w:r>
      <w:r w:rsidR="00000000" w:rsidRPr="00000000" w:rsidDel="00000000">
        <w:rPr>
          <w:i w:val="1"/>
          <w:rtl w:val="0"/>
        </w:rPr>
        <w:t xml:space="preserve">de minimis</w:t>
      </w:r>
      <w:r w:rsidR="00000000" w:rsidRPr="00000000" w:rsidDel="00000000">
        <w:rPr>
          <w:rtl w:val="0"/>
        </w:rPr>
        <w:t xml:space="preserve"> nosacījumiem, ja 2.2.1.2.i. investīcijas ietvaros gala labuma guvējs pretendē uz atbalsta saņemšanu saskaņā ar Komisijas regulu Nr. 651/2014.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Minētās kārtības izmaiņas veicinās kopējo gala labuma guvēja izvērtēšanas laika samazināšanos, kā arī novērsīs nepieciešamību gala labuma guvējam īsā laika periodā atkārtoti iesniegt vienu un to pašu informāciju, lai pretendētu uz atbalsta saņemšanu. Noteikumu projektam nav negatīvas ietekmes uz jau līdz šim Eiropas digitālās inovācijas centriem iesniegtajiem un izvērtētajiem atbalsta pieteikumiem un gala labuma guvējiem jau piešķirto atbalstu 2.2.1.1.i. investīcijas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izvērtējot nepieciešamā risinājuma finansiālo ieguvumu un atbalsta saņemšanai veicamo darbību laika, t.i. laiku, kas nepieciešams, lai no Eiropas digitālās inovācijas centra saņemtu otrreizējo digitālā brieduma testu un atzinumu, samērīgumu, ar Noteikumu projektu tiek nodrošināta iespēja Latvijas Investīciju un attīstības aģentūrai grantu līdz 5000 </w:t>
      </w:r>
      <w:r w:rsidR="00000000" w:rsidRPr="00000000" w:rsidDel="00000000">
        <w:rPr>
          <w:i w:val="1"/>
          <w:rtl w:val="0"/>
        </w:rPr>
        <w:t xml:space="preserve">euro </w:t>
      </w:r>
      <w:r w:rsidR="00000000" w:rsidRPr="00000000" w:rsidDel="00000000">
        <w:rPr>
          <w:rtl w:val="0"/>
        </w:rPr>
        <w:t xml:space="preserve">gala labuma guvējam piešķirt bez Eiropas digitālās inovācijas centra atzinuma iesniegšanas Latvijas Investīciju un attīstības aģentūrai, kas šādā gadījumā veic sākotnējā un otrreizējā digitālā brieduma testa izvērtējumu, nosakot, vai pēc investīcijas īstenošanas gala labuma guvēja komercdarbības notikusi digitālā transformācija. Vienlaikus, lai pārliecinātos par risinājuma iegādi un atbilstību investīciju projektam, nepieciešamības gadījumā Latvijas Investīciju un attīstības aģentūrai ir tiesības gala labuma guvējam pēc investīciju projekta īstenošanas lūgt iesniegt Eiropas digitālās inovācijas centra izstrādāto atzinumu vai citus pamatojošos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gala labuma guvēju lielo interesi par granta līdz 5000 </w:t>
      </w:r>
      <w:r w:rsidR="00000000" w:rsidRPr="00000000" w:rsidDel="00000000">
        <w:rPr>
          <w:i w:val="1"/>
          <w:rtl w:val="0"/>
        </w:rPr>
        <w:t xml:space="preserve">euro </w:t>
      </w:r>
      <w:r w:rsidR="00000000" w:rsidRPr="00000000" w:rsidDel="00000000">
        <w:rPr>
          <w:rtl w:val="0"/>
        </w:rPr>
        <w:t xml:space="preserve">saņemšanu, ar Noteikumu projektu tiek noteikts, ka turpmāk visiem gala labuma guvējiem, proti, arī biedrībām un nodibinājumiem un lielajiem komersantiem, līdzīgi kā līdz šim sīkajiem (mikro), mazajiem komersantiem, būs iespējams saņemt grantu līdz 5000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Papildināta atbalstāmā darbība - digitālu procesu prototipēšana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pilnvērtīgu digitalizācijas procesu iespējamību, ar Noteikumu projektu noteikts, ka var veikt arī digitālu procesu prototipēšanu, izstrādājot jaunus digitālus risinājumus, attiecīgi papildinātas arī MK noteikumu Nr.10 18.2.1. apakšpunktā minētās attiecināmās izmaksas gala labuma guvējam.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veiktas izmaiņas arī attiecībā uz Atveseļošanas fonda neattiecināmajām izmaksām – precizēts MK noteikumu Nr.10 22.3. apakšpunkts, nosakot, ka nav attiecināmas kravu iekraušanas, izkraušanas, celšanas, pārvadāšanas un glabāšanas izmaksas. Tādējādi 2.2.1.2.i. investīcijas ietvaros tiek novērsts ierobežojums uz glabāšanas iekārtas iegādes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tiesiskās skaidrības nolūkos VI sadaļā noteikts, ka gala labuma guvējs </w:t>
      </w:r>
      <w:r w:rsidR="00000000" w:rsidRPr="00000000" w:rsidDel="00000000">
        <w:rPr>
          <w:i w:val="1"/>
          <w:rtl w:val="0"/>
        </w:rPr>
        <w:t xml:space="preserve">de minimis</w:t>
      </w:r>
      <w:r w:rsidR="00000000" w:rsidRPr="00000000" w:rsidDel="00000000">
        <w:rPr>
          <w:rtl w:val="0"/>
        </w:rPr>
        <w:t xml:space="preserve"> atbalsta ietvaros var attiecināt iekārtu nomas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Paplašināta gala labuma guvēja definīcija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precizēts, ka atbalstu var saņemt gala labuma guvēji, kas reģistrēti ne tikai Latvijas Republikas Uzņēmumu reģistrā, bet arī Komercreģistrā un atbilst citiem MK noteikumu Nr.10 nosacījumiem. Vienlaikus skaidrāk noteikta prasība attiecībā uz biedrībām un nodibinājumiem, t.i., precizējot, ka uz atbalsta saņemšanu var pretendēt biedrības un nodibinājumi, kas apvieno vismaz trīs komersantus vai pārstāv to intereses.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Citi tehniski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precizēta Eiropas digitālās inovācijas centra atzinuma definīcija – ņemot vērā ar Noteikumu projektā precizēto atbalsta saņemšanas kārtību, paredzēts, ka gala labuma guvējs var saņemt Latvijas Investīciju un attīstības aģentūras izsniegto grantu (līdz 5000 </w:t>
      </w:r>
      <w:r w:rsidR="00000000" w:rsidRPr="00000000" w:rsidDel="00000000">
        <w:rPr>
          <w:i w:val="1"/>
          <w:rtl w:val="0"/>
        </w:rPr>
        <w:t xml:space="preserve">euro</w:t>
      </w:r>
      <w:r w:rsidR="00000000" w:rsidRPr="00000000" w:rsidDel="00000000">
        <w:rPr>
          <w:rtl w:val="0"/>
        </w:rPr>
        <w:t xml:space="preserve">) arī bez atzinuma saņemšanas no Eiropas digitālās inovācijas centra;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precizēts, ka otrreizējo digitālā brieduma testu gala labuma guvējs var veikt patstāvīgi vai sadarbībā Eiropas digitālās inovācijas centru;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precizēti 2.2.1.2.i. investīcijas rādītāji, lai nodrošinātu to redakcijas atbilstību grozījumiem Atveseļošanas fonda darbības kārtībā un Padomes īstenošanas lēmumā (CID) par Atveseļošanas fonda plāna grozījumu apstiprināšanu, kas tika apstiprināti 2023. gada 8.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aizstāti vārdi “maksājuma pieprasījums” ar “progresa pārskats”, nodrošinot sasaisti ar Kohēzijas politikas fondu vadības informācijas sistēmā lietoto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svītrots MK noteikumu Nr.10 33. punkts – minētā norma pēc būtības neietver gala labuma guvēja investīciju projekta un 2.2.1.2.i. investīcijas īstenošanai nozīmīgu prasību;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noteikts termiņš gadījumiem, kad Latvijas Investīciju un attīstības aģentūra nenoraida gala labuma guvēja projekta pieteikumu- t.i., to nenoraida, ja  no dienas, kad kļuvis neapstrīdams un nepārsūdzams: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tiesas spriedums, prokurora priekšraksts par sodu vai citas institūcijas pieņemtais lēmums saistībā ar MK noteikumu Nr.10 34.4.1. (noziedzīgi nodarījumi) vai 34.4.2.1. apakšpunktā (vaina vai sods noteiktos pārkāpumos par personu nodarbināšanu) minētiem pārkāpumiem, līdz Latvijas Investīcijas un attīstības aģentūras lēmuma pieņemšanas dienai ir pagājuši trīs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tiesas spriedums vai citas institūcijas pieņemts lēmums saistībā ar MK  noteikumu Nr.10 34.4.2.2. vai 34.4.3. apakšpunktā minētajiem pārkāpumiem, līdz Latvijas Investīcijas un attīstības aģentūras lēmuma pieņemšanas dienai ir pagājuši 12 mēneši.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svītrots MK noteikumu Nr.10 42. punkts, lai līdz 2.2.1.2.i. investīcijas īstenošanas beigām, t.i. 2026. gada 30. jūnijam, gala labuma guvējs varētu iesniegt pieteikumu un pabeigt vairākus projektus, tādējādi nodrošinot komercdarbības procesu digitālo transformāciju dažādās jomās, vienlaikus Latvijas Investīciju un attīstības aģentūrai izvērtējot dubultfinansējuma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precizēts, ka Latvijas Investīciju un attīstības aģentūra kā finansējuma saņēmējs, kas ir valsts iestāde, var saņemt priekšfinansējumu;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tehniski precizētas atsauces 2.2.1.2.i. investīcijas ietvaros, ka atbilstība, attiecībā uz MK noteikumu Nr.10 60., 79. punktuā un 79.4. apakšpunktuā noteiktajam, vērtējama gan attiecībā uz gala labuma guvēja pamatdarbības veidu, gan investīciju projektā paredzētajām darbībām, lai novērstu interpretācijas iespējas attiecībā uz atbilstības pārbaudes veikšanu gala labuma guvējam;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5.10. svītrots MK noteikumu Nr.10 67. un 85. punkts par komercdarbības atbalsta piešķiršanas brīdi gala labuma guvējam, to apvienojot MK noteikumu Nr.10 91. punktā, lai novērstu normu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5.11. precizēts MK noteikumu Nr.10 41. punkts, lai noteiktu, ka gala labuma guvējs investīciju projekta ietvaros var attiecināt konsultāciju izmaksas no attiecināmo izmaksu kopējās summas, nepārsniedzot attiecināmo izmaksu daļu, kas paredzēta pašu risinājumu, aparatūras, sensoru, iekārtu, programmatūras un informācijas tehnoloģiju infrastruktūras iegādei, izstrādei, prototipēšanai, uzstādīšanai un pielāgošanai, tai skaitā licences iegādei.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iekļautie grozījumi ir attiecināmi uz visu 2.2.1.2.i. investīciju un ir uzskatāmi par Latvijas Investīciju un attīstības aģentūrai un gala labuma guvējiem neitrāliem vai labvēlīgiem, proti, Noteikumu projekts precīzāk izskaidro valsts atbalsta piešķiršanas nosacījumus un nodrošina iespēju gala labuma guvējiem atvieglotā procesā saņemt atbalstu. Grozījumi neietekmē lēmuma pieņemšanu attiecībā uz Latvijas Investīciju un attīstības aģentūru vai gala labuma guvēju projektu iesniegumu atlasi.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stāšanās spēkā plānots informēt Latvijas Investīciju un attīstības aģentūru par veiktajiem grozījumiem.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ņemot vērā Eiropas digitālās inovācijas centru un Latvijas Investīciju un attīstības aģentūras priekšlikumus.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ietvaros paredzētais atbalsts veicinās procesu digitalizāciju komercdarbībā un produktivitātes paaugstināšanu ar mērķtiecīgu resursu ieguldīšanu augstākas pievienotās vērtības radīšanai komersantu darbības procesos, kas veicinātu Latvijas konkurētspējas priekšrocības.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programmas ietvaros </w:t>
      </w:r>
      <w:r w:rsidR="00000000" w:rsidRPr="00000000" w:rsidDel="00000000">
        <w:rPr>
          <w:i w:val="1"/>
          <w:rtl w:val="0"/>
        </w:rPr>
        <w:t xml:space="preserve">de minimis</w:t>
      </w:r>
      <w:r w:rsidR="00000000" w:rsidRPr="00000000" w:rsidDel="00000000">
        <w:rPr>
          <w:rtl w:val="0"/>
        </w:rPr>
        <w:t xml:space="preserve"> atbalsta piešķiršanas nosacījumi nemainās, bet galvenās izmaiņas skar </w:t>
      </w:r>
      <w:r w:rsidR="00000000" w:rsidRPr="00000000" w:rsidDel="00000000">
        <w:rPr>
          <w:i w:val="1"/>
          <w:rtl w:val="0"/>
        </w:rPr>
        <w:t xml:space="preserve">de minimis</w:t>
      </w:r>
      <w:r w:rsidR="00000000" w:rsidRPr="00000000" w:rsidDel="00000000">
        <w:rPr>
          <w:rtl w:val="0"/>
        </w:rPr>
        <w:t xml:space="preserve"> atbalsta kopsummu, kas saskaņā ar Komisijas Regulas Nr. 2023/2831 3. panta otro daļu var sasniegt 300 000 </w:t>
      </w:r>
      <w:r w:rsidR="00000000" w:rsidRPr="00000000" w:rsidDel="00000000">
        <w:rPr>
          <w:i w:val="1"/>
          <w:rtl w:val="0"/>
        </w:rPr>
        <w:t xml:space="preserve">euro </w:t>
      </w:r>
      <w:r w:rsidR="00000000" w:rsidRPr="00000000" w:rsidDel="00000000">
        <w:rPr>
          <w:rtl w:val="0"/>
        </w:rPr>
        <w:t xml:space="preserve">apmēru, līdzšinējo 200 000 </w:t>
      </w:r>
      <w:r w:rsidR="00000000" w:rsidRPr="00000000" w:rsidDel="00000000">
        <w:rPr>
          <w:i w:val="1"/>
          <w:rtl w:val="0"/>
        </w:rPr>
        <w:t xml:space="preserve">euro</w:t>
      </w:r>
      <w:r w:rsidR="00000000" w:rsidRPr="00000000" w:rsidDel="00000000">
        <w:rPr>
          <w:rtl w:val="0"/>
        </w:rPr>
        <w:t xml:space="preserve">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izmaiņas Padomes īstenošanas lēmumā par Atveseļošanas fonda plāna grozījumu apstiprināšanu līdz 2026. gada 30. jūnijam Latvijas Investīciju un attīstības aģentūra sniegs atbalstu visiem MK noteikumu Nr. 10 minētajiem gala labuma guvējiem, t.i. ne tikai uzņēmumiem, bet visa veida gala labuma guvējiem, piemēram, biedrībām un nodibinājumiem, pētniecības un zināšanu izplatīšanas organizācijām, publiskas personas kapitālsabiedrībām.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32023R2831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13. decembra Regula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Regula (ES) Nr. 1408/2013 (2013. gada 18. decembris) par Līguma par Eiropas Savienības darbību 107. un 108. panta piemērošanu de minimis atbalstam lauksaimniecības nozarē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2023. gada 13. decembra Regula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41., 36., 38., 39., 49. punkts (MK noteikumu 36., 76.</w:t>
            </w:r>
            <w:r w:rsidR="00000000" w:rsidRPr="00000000" w:rsidDel="00000000">
              <w:rPr>
                <w:sz w:val="24"/>
                <w:vertAlign w:val="superscript"/>
                <w:rtl w:val="0"/>
              </w:rPr>
              <w:t xml:space="preserve">1</w:t>
            </w:r>
            <w:r w:rsidR="00000000" w:rsidRPr="00000000" w:rsidDel="00000000">
              <w:rPr>
                <w:sz w:val="24"/>
                <w:rtl w:val="0"/>
              </w:rPr>
              <w:t xml:space="preserve">, 62., 74., 87. punkts, VI sadaļas virsraksts, 76.</w:t>
            </w:r>
            <w:r w:rsidR="00000000" w:rsidRPr="00000000" w:rsidDel="00000000">
              <w:rPr>
                <w:sz w:val="24"/>
                <w:vertAlign w:val="superscript"/>
                <w:rtl w:val="0"/>
              </w:rPr>
              <w:t xml:space="preserve">1</w:t>
            </w:r>
            <w:r w:rsidR="00000000" w:rsidRPr="00000000" w:rsidDel="00000000">
              <w:rPr>
                <w:sz w:val="24"/>
                <w:rtl w:val="0"/>
              </w:rPr>
              <w:t xml:space="preserve">1.2., 76.</w:t>
            </w:r>
            <w:r w:rsidR="00000000" w:rsidRPr="00000000" w:rsidDel="00000000">
              <w:rPr>
                <w:sz w:val="24"/>
                <w:vertAlign w:val="superscript"/>
                <w:rtl w:val="0"/>
              </w:rPr>
              <w:t xml:space="preserve">1</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 punkts (MK noteikumu 79.1.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punkts (MK noteikumu 80.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3. panta 2. punkts,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 (MK noteikumu 81.1.</w:t>
            </w:r>
            <w:r w:rsidR="00000000" w:rsidRPr="00000000" w:rsidDel="00000000">
              <w:rPr>
                <w:sz w:val="24"/>
                <w:vertAlign w:val="superscript"/>
                <w:rtl w:val="0"/>
              </w:rPr>
              <w:t xml:space="preserve">1 </w:t>
            </w:r>
            <w:r w:rsidR="00000000" w:rsidRPr="00000000" w:rsidDel="00000000">
              <w:rPr>
                <w:sz w:val="24"/>
                <w:rtl w:val="0"/>
              </w:rPr>
              <w:t xml:space="preserve">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7.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46. punkts (MK noteikumu 84.1.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2023/2831, Komisijas regulas Nr. 2023/2831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50. punkts (MK noteikumu 89.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2023/2831 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 punkts (MK noteikumu 90.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Regula (ES) Nr. 1408/2013 (2013. gada 18. decembris) par Līguma par Eiropas Savienības darbību 107. un 108. panta piemērošanu de minimis atbalstam lauksaimniecības nozarē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1408/2013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 36., 38., 39., 41. punkts (MK noteikumu 36., 76.</w:t>
            </w:r>
            <w:r w:rsidR="00000000" w:rsidRPr="00000000" w:rsidDel="00000000">
              <w:rPr>
                <w:sz w:val="24"/>
                <w:vertAlign w:val="superscript"/>
                <w:rtl w:val="0"/>
              </w:rPr>
              <w:t xml:space="preserve">1</w:t>
            </w:r>
            <w:r w:rsidR="00000000" w:rsidRPr="00000000" w:rsidDel="00000000">
              <w:rPr>
                <w:sz w:val="24"/>
                <w:rtl w:val="0"/>
              </w:rPr>
              <w:t xml:space="preserve">, 62., 74., 87. punkts, VI sadaļas virsraksts, 76.</w:t>
            </w:r>
            <w:r w:rsidR="00000000" w:rsidRPr="00000000" w:rsidDel="00000000">
              <w:rPr>
                <w:sz w:val="24"/>
                <w:vertAlign w:val="superscript"/>
                <w:rtl w:val="0"/>
              </w:rPr>
              <w:t xml:space="preserve">1</w:t>
            </w:r>
            <w:r w:rsidR="00000000" w:rsidRPr="00000000" w:rsidDel="00000000">
              <w:rPr>
                <w:sz w:val="24"/>
                <w:rtl w:val="0"/>
              </w:rPr>
              <w:t xml:space="preserve">1.2., 76.</w:t>
            </w:r>
            <w:r w:rsidR="00000000" w:rsidRPr="00000000" w:rsidDel="00000000">
              <w:rPr>
                <w:sz w:val="24"/>
                <w:vertAlign w:val="superscript"/>
                <w:rtl w:val="0"/>
              </w:rPr>
              <w:t xml:space="preserve">1</w:t>
            </w:r>
            <w:r w:rsidR="00000000" w:rsidRPr="00000000" w:rsidDel="00000000">
              <w:rPr>
                <w:sz w:val="24"/>
                <w:rtl w:val="0"/>
              </w:rPr>
              <w:t xml:space="preserve">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1408/2013 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43. punkts (MK noteikumu 80.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1408/2013 3. panta 2. punkts, 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 punkts (MK noteikumu 81.1.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 Nr. 1408/2013, Komisijas Regulas Nr. 1408/2013 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50. punkts (MK noteikumu 89.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 1408/2013 6. panta 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51. punkts (MK noteikumu 90.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iesaistīti Eiropas digitālās inovācijas centri, Latvijas Investīciju un attīstības aģentūra un uzņēmumi, Ekonomikas ministrijai ņemot vērā to iesniegtos priekšlikumus atbalsta piešķiršanas un saņemšanas procesu paātrināšanai.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24-TA-50</w:t>
    </w:r>
    <w:r>
      <w:br/>
    </w:r>
    <w:r w:rsidR="00000000" w:rsidRPr="00000000" w:rsidDel="00000000">
      <w:rPr>
        <w:rtl w:val="0"/>
      </w:rPr>
      <w:t xml:space="preserve">Izdrukāts 29.07.2026. 22.27 - 1.0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24-TA-50</w:t>
    </w:r>
    <w:r>
      <w:br/>
    </w:r>
    <w:r w:rsidR="00000000" w:rsidRPr="00000000" w:rsidDel="00000000">
      <w:rPr>
        <w:rtl w:val="0"/>
      </w:rPr>
      <w:t xml:space="preserve">Izdrukāts 29.07.2026. 22.27 - 1.0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anotācija_(ex_ante)_24-TA-50.docx</dc:title>
</cp:coreProperties>
</file>

<file path=docProps/custom.xml><?xml version="1.0" encoding="utf-8"?>
<Properties xmlns="http://schemas.openxmlformats.org/officeDocument/2006/custom-properties" xmlns:vt="http://schemas.openxmlformats.org/officeDocument/2006/docPropsVTypes"/>
</file>