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Ieguldījumu brokeru sabiedrību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Ieguldījumu brokeru sabiedrību likumā” (turpmāk - likumprojekts) izstrādāts, lai Ieguldījumu brokeru sabiedrību likumā (turpmāk - Likums) transponētu: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2023. gada 13. decembra Direktīva (ES) 2023/2864, ar ko attiecībā uz Eiropas vienotā piekļuves punkta izveidi un darbību groza konkrētas direktīvas (turpmāk – Direktīva Nr. 2023/2864),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Direktīvu Nr. 2023/2864, tostarp tiek grozīta Eiropas Parlamenta un Padomes 2019. gada 27. novembra direktīva 2019/2034 par ieguldījumu brokeru sabiedrību prudenciālo uzraudzību un ar ko groza Direktīvas 2002/87/EK, 2009/65/EK, 2011/61/ES, 2013/36/ES, 2014/59/ES un 2014/65/ES (turpmāk – Direktīva Nr. 2019/2034), iekļaujot tajā jaunu 44.a pantu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2019/2034 44.a panta noteiktās prasības par informācijas nodošanu Eiropas vienotajam piekļuves punktam (European single access point) (turpmāk – ESAP), kas tiks izveidots saskaņā ar Eiropas Parlamenta un Padomes 2023. gada 13. decembra regulu (ES) 2023/2859, ar ko izveido Eiropas vienoto piekļuves punktu, kurš nodrošina centralizētu piekļuvi publiski pieejamai informācijai saistībā ar finanšu pakalpojumiem, kapitāla tirgiem un ilgtspēju (turpmāk – Regula Nr. 2023/2859), attiecas tikai uz Ieguldījumu brokeru sabiedrību likuma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normas, kas izriet no Eiropas Parlamenta un Padomes 2024. gada 27. novembra direktīvas (ES) 2024/2994, ar ko groza Direktīvas 2009/65/EK, 2013/36/ES un (ES) 2019/2034 attiecībā uz pieeju koncentrācijas riskam, kas izriet no riska darījumiem ar centrālajiem darījumu partneriem, un darījuma partnera riskam atvasināto instrumentu darījumos, kuriem tīrvērte veikta centralizēti (turpmāk – Direktīva Nr. 2024/2994),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Nr. 2024/2994 iekļautas tiesību normas ar mērķi nodrošināt finanšu stabilitāti  Eiropas Savienībā un mazināt iespējamos kaitīgās ietekmes izplatīšanās riskus visā Eiropas Savienības finanšu sistēmā, ieviešot atbilstošas prasības, lai veicinātu tāda koncentrācijas riska apzināšanu, pārvaldību un uzraudzību, kas izriet no riska darījumiem ar centrālajiem darījumu partneriem (CCP). Minētās prasības veikt nepieciešamos pasākumus savu darījumdarbības modeļu pielāgošanai nolūkā nodrošināt atbilstību jaunajām tīrvērtes prasībām, kas ieviestas ar grozījumiem Eiropas Parlamenta un Padomes 2012. gada 4. jūlija regulā (ES) Nr. 648/2012 par ārpusbiržas atvasinātajiem instrumentiem, centrālajiem darījumu partneriem un darījumu reģistriem, kuri ir iekļauti Eiropas Parlamenta un Padomes Regulā (ES) 2024/2987, un lai kopumā veicinātu to riska pārvaldības praksi, ņemot vērā to tirdzniecību veicinošo aktivitāšu raksturu, darbības jomu un sarežģītību, kas attiecas uz  Likuma subjektiem.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pilnveidot tiesisko regulējumu, kas attiecas uz informācijas nodošanu Eiropas vienotajam piekļuves punktam, tādējādi nodrošinot centralizētu piekļuvi publiski pieejamai informācijai saistībā ar finanšu pakalpojumiem, kā arī nodrošināt, ka kredītiestādes, ieguldījumu brokeru sabiedrības un to kompetentās iestādes pienācīgi uzrauga un mazina koncentrācijas risku, kas izriet no riska darījumiem ar centrālajiem darījumu partneriem.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2023/2864 17. pantā “Transponēšana” noteikts, ka dalībvalstis līdz 2026.gada 10.janvārim pieņem un publicē normatīvos aktus, kas vajadzīgi, lai izpildītu šīs direktīvas prasības. Līdz ar to nekavējoties ir nepieciešams transponēt Likumā minēto Eiropas Savienības tiesību aktu, lai novērstu tādu valstij nelabvēlīgu seku iestāšanos, kas skar būtiskas valsts starptautiskās un finanšu intereses, ja Direktīva Nr. 2023/2864 netiek transponēta minētajā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2024/2994 4. pantā “Transponēšana” noteikts, ka dalībvalstis līdz 2026. gada 25. jūnijam pieņem un publicē normatīvos aktus, kas vajadzīgi, lai  izpildītu Direktīvas Nr. 2024/2994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pirmā daļa šo brīd neiekļauj definīciju terminam “centrālais darījumu partneris”, 1. panta otrā daļa nosaka terminu lietojumu atbilstoši Eiropas Savienības tiesību aktiem terminiem - "Eiropas Savienības mātes ieguldījumu brokeru sabiedrība", "Eiropas Savienības mātes ieguldījumu pārvaldītājsabiedrība", "Eiropas Savienības mātes jaukta finanšu pārvaldītājsabiedrība", "finanšu iestāde", "ieguldījumu brokeru sabiedrību grupa", "ieguldījumu pārvaldītājsabiedrība", "kredītiestāde" un "atvasināti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31. panta pirmās daļas 14. punkta "b" apakšpunkts nosaka, ka Ieguldījumu brokeru sabiedrība saskaņā ar tai izsniegto licenci tās darbības laikā izveido tās darbības raksturam, apjomam un sarežģītībai piemērotas visaptverošas un efektīvas iekšējās kontroles sistēmas un nodrošina darbības, kas ietver, tai skaitā, ieguldījumu brokeru sabiedrības darbībai piemītošo un varbūtējo risku identificēšanas, pārvaldīšanas, uzraudzības un ziņošanas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43. pants nosaka uzraudzības pārbaudes un novērtējuma kārtību, ko Latvijas Banka veic attiecībā uz šajā likumā ieguldījumu brokeru sabiedrībām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45. panta pirmā daļa nosaka, kādu informāciju, piemērojot šā likuma 43. panta otrās, trešās, ceturtās, piektās un septītās daļas, 53. panta ceturtās un piektās daļas noteikumus un Regulas Nr. 2019/2033 prasības, ievērojot samērīguma principu, tiesības uzraudzības procesā Latvijas Banka ir tiesīga pieprasīt ieguldījumu brokeru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57. panta pirmajā daļā noteikts, ka ieguldījumu brokeru sabiedrība, kas nav uzskatāma par nelielu ieguldījumu brokeru sabiedrību, vai ieguldījumu brokeru sabiedrība, kas ir uzskatāma par nelielu ieguldījumu brokeru sabiedrību, uz kuru attiecas Regulas Nr. 2019/2033 46. panta 2. punkta prasība, publicē Regulas Nr. 2019/2033 46. pantā minēto informāciju biežāk nekā reizi gadā, izplatot to divu mēnešu laikā pēc attiecīgā pārskata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76. panta pirmajā daļā noteikts, ka Latvijas Banka informāciju par sankcijām un administratīvajiem pasākumiem, kas piemēroti par pārkāpumu atbildīgajām fiziskajām vai juridiskajām personām, pēc tam, kad tā ir paziņota adresātam, ievieto savā tīmekļvietnē, norādot ziņas par personu un tās izdarīto pārkāpumu, kā arī par Latvijas Bankas izdotā administratīvā akta pārsūdzēšanu un pieņemto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81. panta otrajā daļā paredz, ka Ieguldījumu brokeru sabiedrības darbības atjaunošanas un noregulējuma, maksātnespējas procesa un likvidācijas tiesiskais regulējuma ietvaros Latvijas Banka ir tiesīga iecelt pilnvarnieku.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84. panta pirmās daļas 1. punkts nosaka, ka ierobežotas pieejamības informācijas apmaiņas ar ārvalstu uzraudzības institūcijām nodrošināšanai Latvijas Banka ir tiesīga slēgt līgumus par informācijas apmaiņu šajā likumā noteikto uzraudzības funkciju veikšanai ar ārvalstu uzraudzības institūcijām, iestādēm vai citām juridiskajām personām, kas veic finanšu tirgu un finanšu iestāžu uzraudzību, tostarp to finanšu iestāžu uzraudzību, kurām ir piešķirta atļauja darboties kā centrālajiem darījumu partneriem, ja centrālie darījumu partneri ir atzīti saskaņā ar Eiropas Parlamenta un Padomes 2012. gada 4. jūlija regulas (ES) Nr. 648/2012 par ārpusbiržas atvasinātajiem instrumentiem, centrālajiem darījumu partneriem un darījumu reģistriem (turpmāk - Regula Nr. 648/2012 ) 25.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2023/2859 1. pants paredz, ka līdz 2027. gada 10. jūlijam Eiropas Vērtspapīru un tirgu iestāde, kas izveidota ar Eiropas Parlamenta un Padomes  2010. gada 24. novembra Regulu (ES) Nr. 1095/2010, ar ko izveido Eiropas Uzraudzības iestādi (Eiropas Vērtspapīru un tirgu iestādi), groza Lēmumu Nr. 716/2009/EK un atceļ Komisijas Lēmumu 2009/77/EK, (turpmāk – EVTI) izveido un pārvalda ESAP, kas nodrošina centralizētu piekļuvi informācijai, ko publisko saskaņā ar regulas nr. 2023/2859 pielikumā uzskaitītajiem Savienības leģislatīvajiem aktiem, tostarp Direktīvā Nr. 2019/2034 noteikto informāciju. ESAP funkcijas noteiktas Regulas Nr. 2023/2859 7. 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reglamentējošais normatīvais akts, kurš attiecas uz uzņēmumiem, uz kuriem attiecas Direktīvas Nr. 2019/2034 44.a panta noteiktās prasības par informācijas nodošanu ESAP, ir Ieguldījumu brokeru sabiedrību likums, tad, lai pārņemtu Direktīvas Nr. 2023/2864 prasības, ir jāveic grozījumi Ieguldījumu brokeru sabiedrību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reglamentējošais normatīvais akts, kurš attiecas uz uzņēmumiem, kurus skar Direktīvas Nr. 2019/2034 prasības, tai skaitā uz risku apzināšanu, pārvaldību un uzraudzību, ir Likums, tad, lai pārņemtu Direktīvas Nr. 2024/2994 3.panta prasības, ir nepieciešams veikt grozījumus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2019/2034  prasības, kas izriet no Direktīvas Nr. 2024/2994 3. panta prasībām, Likumā veikti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pirmā daļa papildināta ar 18.punktu, kas definē terminu “centrālais darījumu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otrā daļa izteikta jaunā redakcijā, papildinot terminu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panta pirmās daļas 14. punkta "b" apakšpunkts izteikts jaunā redakcijā, precizējot prasības, kas ieguldījumu brokeru sabiedrībām iekšējās kontroles sistēmā ir jānodrošina attiecībā uz ieguldījumu brokeru sabiedrības darbībai piemītošo un varbūtējo risku, kā arī risku, kurus tā rada vai var radīt saviem klientiem, tostarp koncentrācijas riska, kas izriet no riska darījumiem ar centrālajiem darījumu partneriem, ņemot vērā Regulas Nr. 648/2012 7.a panta prasības, identificēšanas, pārvaldīšanas, uzraudzības un ziņošanas sistēmu, kā arī nosaka, ka ieguldījumu brokeru sabiedrība izstrādā plānus un kvantificējamus mērķus saskaņā ar Regulas Nr. 648/2012 7.a panta prasībām, lai pārvaldītu un novērstu koncentrācijas risku, kas izriet no riska darījumiem ar centrālajiem darījumu partneriem, kuri piedāvā pakalpojumus, kuriem ir būtiska sistēmiska nozīme  Eiropas Savienībā vai vismaz vienā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un tiesisko noteiktību, ar formulējumu “kvantificējami mērķi” jāsaprot ieguldījumu brokeru sabiedrības noteikti, skaidri izmērāmi un skaitliski izteikti mērķi, kas ļauj novērtēt koncentrācijas riska apjomu un tā samazināšanas progresu saskaņā ar Regulas (ES) Nr. 648/2012 7.a panta prasībām. Minētie mērķi attiecas uz koncentrācijas riska pārvaldīšanu un ierobežošanu attiecībā uz centrālajiem darījumu partneriem, kuri piedāvā pakalpojumus, kuriem ir būtiska sistēmiska nozīme Eiropas Savienībā vai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Kvantificējami mērķi var ietvert, piemēram, noteiktas ekspozīcijas robežvērtības, procentuālus limitus, ekspozīcijas attiecību pret kapitālu vai pakāpeniskus samazināšanas rādītājus ar konkrētiem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pants papildināts ar 2.</w:t>
      </w:r>
      <w:r w:rsidR="00000000" w:rsidRPr="00000000" w:rsidDel="00000000">
        <w:rPr>
          <w:vertAlign w:val="superscript"/>
          <w:rtl w:val="0"/>
        </w:rPr>
        <w:t xml:space="preserve">1</w:t>
      </w:r>
      <w:r w:rsidR="00000000" w:rsidRPr="00000000" w:rsidDel="00000000">
        <w:rPr>
          <w:rtl w:val="0"/>
        </w:rPr>
        <w:t xml:space="preserve"> daļu, nosakot, ka Latvijas Banka novērtē un pārrauga ieguldījumu brokeru sabiedrību praksi koncentrācijas riska, kas izriet no riska darījumiem ar centrālajiem darījumu partneriem, pārvaldīšanai, tostarp plānus, kas izstrādāti saskaņā ar šā likuma 31. panta pirmās daļas 14. punkta "b" apakšpunktu, kā arī ieguldījumu brokeru sabiedrību komercdarbības modeļu pielāgošanu Regulas Nr. 648/2012 7.a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panta pirmā daļa papildināta ar 14. punktu, kas nosaka Latvijas Bankas tiesības uzraudzības procesā ieguldījumu brokeru sabiedrībai pieprasīt, lai tiktu samazināti riska darījumi ar noteiktu centrālo darījumu partneri vai pārdalīti riska darījumi tās tīrvērtes kontos saskaņā ar Regulas Nr. 648/2012 7.a pantu, ja Latvijas Banka uzskata, ka pastāv pārmērīgas koncentrācijas risks, kas izriet no riska darījumiem ar noteiktu centrālo darījumu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panta pirmās daļas 1. punkts ir izteikts jaunā redakcijā, ar grozījumiem precizējot Latvijas Bankas tiesības informācijas apmaiņas nodrošināšanai slēgt līgumus ar ārvalstu uzraudzības institūcijām, iestādēm vai citām juridiskajām personām, kas veic finanšu tirgu un finanšu iestāžu uzraudzību, tostarp to finanšu iestāžu uzraudzību, kurām ir piešķirta atļauja darboties kā centrālajiem darījumu partneriem, ja centrālie darījumu partneri ir atzīti saskaņā ar Regulas Nr. 648/2012 25.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2024/2994.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2019/2034 44.a panta 1. punktā noteikts, ka no 2030. gada 10. janvāra dalībvalstis nodrošina, ka, publiskojot informāciju par par riska pārvaldības mērķiem un politiku, par pašu kapitālu un tā atbilstību prasībām, ka arī par piemērotajām sankcijām un administratīvajiem pasākumiem regulētās vienības vienlaikus iesniedz minēto informāciju šā panta 3. punktā minētajai informācijas vākšanas struktūrai, lai tie būtu pieejami ESAP.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2019/2034 44.a panta 1.punktā noteikts, ka dalībvalstis nodrošina, ka informācija tiek iesniegta datu izgūšanai piemērotā formātā, kā definēts Regulas Nr. 2023/2859 2. panta 3) punktā, vai – ja to prasa Savienības vai valstu tiesību akti – mašīnlasāmā formātā, kā definēts minētās regulas 2. panta 4) punktā. Informācijai tiek pievienoti metadati, kas noteikti Direktīvas  Nr. 2019/2034 44.a panta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2019/2034 44.a panta 2. punkts paredz, ka šā panta 1. punkta b) apakšpunkta ii) punkta izpildei dalībvalstis nodrošina, ka ieguldījumu brokeru sabiedrības un mātesuzņēmumi iegūst juridiskās personas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2019/2034 44.a panta 4.punktā noteikts, ka dalībvalstis nodrošina, ka informācija tiek iesniegta datu izgūšanai piemērotā formātā, kā definēts Regulas Nr. 2023/2859 2. panta 3) punktā. Informācijai tiek pievienoti metadati, kas noteikti Direktīvas Nr. 2019/2034 44.a panta 4. punkta b)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2019/2034 44.a panta “Informācijas pieejamība Eiropas vienotajā piekļuves punktā” prasības, kas izriet no Direktīvas Nr. 2023/2864, Likums papildināts ar 57. panta otrās daļas jauno redakciju un jaunu 86.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57. panta otro daļa, kas paredz, ka ieguldījumu brokeru sabiedrības publisko šā panta pirmajā daļā minēto informāciju savā tīmekļvietnē vienlaikus to iesniedz Latvijas Bankā. Šā likuma 57. panta pirmajā daļā minēto informāciju Latvijas Bankai iesniedz Regulas Nr. 2023/2859 2. panta 3. vai 4. punktā noteiktajā formātā. Informācija satur Regulas Nr. 2023/2859 7. panta 4. punkta “b”, “c” un “d” apakšpunktā minēto informāciju, tai skaitā  šā panta pirmajā daļā minētās sabiedrības nosaukumu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86. pantu, kas paredz, ka Latvijas Banka ir uzskatāma par informācijas vākšanas struktūru Regulas Nr. 2023/2859 2. panta 2. punkta izpratnē, kā arī nodrošina šā likuma 12. panta astotajā daļā, 16. panta piektajā daļā, 17. panta piektajā un septītajā daļā, 57. panta pirmajā daļā, 76. panta pirmajā un otrajā daļā un 81. panta otrajā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12. panta astotajā daļā, 16. panta piektajā daļā, 17. panta piektajā un septītajā daļā un 76. panta pirmajā un otrajā daļā minēto informāciju Eiropas vienotajam piekļuves punktam sniedz Regulas Nr. 2023/2859 2. panta 3. punktā noteiktajā formātā. Regulētā informācija satur Regulas Nr. 2023/2859 7. panta 4. punkta “b” un “c” apakšpunktā minēto informāciju, tai skaitā visi tās ieguldījumu brokeru sabiedrību vai tirgus operatora nosaukumi vai piesaistītā aģenta, uz kuru attiecas informācija,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2023/2864 10. apsvērumā teikts, ka saskaņā ar Eiropas Parlamenta un Padomes 2018. gada 23. oktobra Regulu (ES) 2018/1725 par fizisku personu aizsardzību attiecībā uz personas datu apstrādi Savienības iestādēs, struktūrās, birojos un aģentūrās un par šādu datu brīvu apriti un ar ko atceļ Regulu (EK) Nr. 45/2001 un Lēmumu Nr. 1247/2002/EK (turpmāk - Regula Nr. 2018/1725) 42. panta 1. punktu ir notikusi apspriešanās ar Eiropas Datu aizsardzības uzraudzītāju, kas 2022. gada 19. janvārī sniedza oficiālus komentārus. Līdz ar to regulējums attiecībā uz personas datu nodošanu ir saskaņots ar Eiropas Datu aizsardzības uzraudzītāju un atbilst Regulai Nr. 2018/1725, kā to paredz Direktīva Nr. 2023/2864.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 2023/2859 21. apsvērumā teikts, ka personas datu nodošana ir saskaņota Direktīvas Nr. 2023/2864 regulējumā ar Eiropas Parlamenta un Padomes 2016. gada 27. aprīļa Regula (ES) 2016/679 par fizisku personu aizsardzību attiecībā uz personas datu apstrādi un šādu datu brīvu apriti un ar ko atceļ Direktīvu 95/46/EK (Vispārīgā datu aizsardzības regula) un Regulu Nr. 2018/1725, kur metadati šajā gadījumā ir tikai tehniska pazīme, kas palīdz pārvaldīt dokumentus, piemēram, piemērot datu aizsardzības režīmus, nodrošināt dzēšanas termiņus un, ja nepieciešams, ierobežot meklēšanas un piekļuves funkcijas. Papildus tehniskā pazīme ir tikai marķējums, kas norāda uz personas datu klātbūtni dokumentā, kā arī  ESAP nenodod un neprasa papildu personas datus, bet glabā tikai tos personas datus, kas jau tiesiski ietverti iesniedzamajā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identifikators jeb LEI (Legal Entity Identifier) ir unikāls globāls uzņēmuma identifikācijas numurs, ko izdevusi Globālā juridisko personu identifikatoru fonda vietējā struktūrvienība. Finanšu iestādes un regulatori izmanto LEI, lai identificētu finanšu tirgu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identifikators ir 20 rakstzīmju, burtu un ciparu kods, kura pamatā ir ISO 17442 standarts, ko izstrādājusi Starptautiskā standartizācijas organizācija (ISO). Tas apkopo galveno atsauces datu informāciju, kas ļauj skaidri un unikāli identificēt juridiskas personas, kuras piedalās finanšu darījumos atbilstoši Komisijas 2016. gada 14. jūlija deleģētās regulas (ES) 2017/585 ar ko Eiropas Parlamenta un Padomes Regulu (ES) Nr. 600/2014 papildina attiecībā uz regulatīvajiem tehniskajiem standartiem par finanšu instrumentu atsauces datu standartiem un formātiem un tehniskiem līdzekļiem saistībā ar Eiropas Vērtspapīru un tirgu iestādes un kompetento iestāžu veicamajiem pasākumiem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nosacījumu, ka Likuma 57. panta otrās daļas jauno redakciju un 86. pantu piemēro, sākot ar  2030. gada 10. janvāri.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iekļauta arī informatīvā atsauce uz Direktīvu Nr. 2023/2864.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ir Likuma subjekti.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Likumā tā subjektiem nerodas nozīmīgi papildus pienākumi, kuri radītu administratīvās izmaksas, jo pienākums regulāri savā tīmekļa vietnē publiskot informāciju par riska pārvaldības mērķiem un politiku, par pašu kapitālu un tā atbilstību prasībām, ka arī par piemērotajām sankcijām un administratīvajiem pasākumiem publicē savā tīmekļvietnē jau ir pašlaik noteikts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prasību Likuma subjektiem iepriekš sagatavoto informāciju par riska pārvaldības mērķiem un politiku, par pašu kapitālu un tā atbilstību prasībām, ka arī par piemērotajām sankcijām un administratīvajiem pasākumiem papildus regulārai publiskošanai savā tīmekļa vietnē vienlaikus iesniegt arī Latvijas Bankā. Tādējādi pilnībā jauns ziņošanas pienākums netiek ieviests, bet tiek papildināta esošā sistēma informācijas un komunikāciju tehnoloģiju jomā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un finansiālo resursu ieguldījums, lai nodrošinātu regulāri sagatavotās un publicētās informācijas, vienlaikus iesniegšanu Latvijas Bankā  katram Likuma subjektam varētu būt atšķirīgs, ņemot vērā tā darbības apjomu, iekšējās informācijas tehnoloģijas jeb IT infrastruktūras, tostarp, vai programmnodrošinājumu izstrādā pats Likuma subjekts vai iegādājas ārpakalpojumā sistēmas tehniskos risinājumus, kā arī vai šo pāreju īsteno un plāno laikus, t.i., kopš Regulas Nr. 2023/2864 pieņemšanas, vai pašlaik kā neplānotu papildu darbu u.tml., līdz ar to konkrētas izmaksas Likuma subjekta  griezumā nav iespējams identificēt un precīzi aprēķināt.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Uzņēmumi, kas ir Likuma subjekti.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18,89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Oficiālajā statistikas portālā norādīto informāciju vienas stundas darbaspēka izmaksas finanšu un apdrošināšanas nozarē  2025. gada 3. ceturksnī bija 3022 euro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Aprēķinos ir ņemts vērā, ka ieguldījumu brokeru sabiedrībām iepriekš sagatavoto publiski atklājamo informāciju papildus tās regulārai publiskošanai savā tīmekļa vietnē vienlaikus būs jāiesniedz arī Latvijas Bankā. 
Publiskojamā informācija aptver ieguldījumu brokeru sabiedrības riska pārvaldības mērķus un politiku, informāciju par pašu kapitālu un pašu kapitāla prasībām, kā arī, ja tas nepieciešams, informāciju par atalgojuma politiku un praksi, ieguldījumu politiku un vides, sociālajiem un pārvaldības riskiem.
Izmaksas aprēķinātas desmit Latvijā licencētajām ieguldījumu brokeru sabiedrībām (skat. https://www.bank.lv/finansu-tirgus-dalibnieku-registrs/tirgus-dalibnieki?segments=111-ieguldijumu-pakalpojumu-sniedzeji,112-ieguldijumu-brokeru-sabiedribas).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Uzņēmumi, kas ir Likuma subjekti.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1 000,00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iespējams precīzi aprēķināt, cik lielas varētu būt atbilstības izmaksas katrai ieguldījumu brokeru sabiedrībai. Informācijas sistēmu pielāgošana attiecīgās informācijas iesniegšanai Latvijas Bankai varētu radīt īpašas vienreizējas izmaksas, kuru apjoms var būt atkarīgs no informācijas sistēmu esošās atbilstības jaunajām prasībām. Ja sistēmas jau ir atbilstošas, tad papildus atbilstības izmaksas neveidotos.
Izmaksas aprēķinātas desmit Latvijā licencētajām ieguldījumu brokeru sabiedrībām (skat. https://www.bank.lv/finansu-tirgus-dalibnieku-registrs/tirgus-dalibnieki?segments=111-ieguldijumu-pakalpojumu-sniedzeji,112-ieguldijumu-brokeru-sabiedribas).</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Finanšu konglomerātu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Finanšu konglomerātu likumā" (25-TA-2284).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Akciju atpirkšanas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Akciju atpirkšanas likumā" (25-TA-2326).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Kredītiestāžu likumā" (25-TA-2447).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Ieguldījumu pārvaldes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Ieguldījumu pārvaldes sabiedrību likumā" (25-TA-2538).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Apdrošināšanas un pārapdrošināšanas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Apdrošināšanas un pārapdrošināšanas likumā" (25-TA-2547).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"Grozījumi Segto obligāciju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Segto obligāciju likumā" (25-TA-2563).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Apdrošināšanas un pārapdrošināšanas izplatīšanas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Apdrošināšanas un pārapdrošināšanas izplatīšanas likumā" (25-TA-2576).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Privāto pensiju fondu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Privāto pensiju fondu likumā" (25-TA-2585).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Kredītiestāžu un ieguldījumu brokeru sabiedrību darbības atjaunošanas un noregulējuma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Kredītiestāžu un ieguldījumu brokeru sabiedrību darbības atjaunošanas un noregulējuma likumā" (25-TA-2691).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Likumprojekts "Grozījumi Finanšu instrumentu tirgus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Finanšu instrumentu tirgus likumā" (25-TA-2713).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32023L2864; 32024L2994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decembra Direktīva (ES) 2023/2864, ar ko attiecībā uz Eiropas vienotā piekļuves punkta izveidi un darbību groza konkrētas direktīvas; Eiropas Parlamenta un Padomes 2024. gada 27. novembra direktīva (ES) 2024/2994, ar ko groza Direktīvas 2009/65/EK, 2013/36/ES un (ES) 2019/2034 attiecībā uz pieeju koncentrācijas riskam, kas izriet no riska darījumiem ar centrālajiem darījumu partneriem, un darījuma partnera riskam atvasināto instrumentu darījumos, kuriem tīrvērte veikta centralizēti.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2022/2864 normas ir jāpārņem līdz 10.01.2026. Direktīvas Nr. 2024/2994 normas ir jāpārņem līdz 25.06.2026.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13. decembra Direktīva (ES) 2023/2864, ar ko attiecībā uz Eiropas vienotā piekļuves punkta izveidi un darbību groza konkrētas direktīvas; Eiropas Parlamenta un Padomes 2024. gada 27. novembra direktīva (ES) 2024/2994, ar ko groza Direktīvas 2009/65/EK, 2013/36/ES un (ES) 2019/2034 attiecībā uz pieeju koncentrācijas riskam, kas izriet no riska darījumiem ar centrālajiem darījumu partneriem, un darījuma partnera riskam atvasināto instrumentu darījumos, kuriem tīrvērte veikta centralizēti.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12. pantu Direktīvā Nr.  2014/65 iekļautais 87.a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86. panta otrā daļa. Pārejas noteikumu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12. pantu Direktīvā Nr.  2014/65 iekļautais 87.a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86. panta pirmā daļa. Pārejas noteikumu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12. pantu Direktīvā Nr. 2014/65 iekļautais 87.a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86. panta otrā daļa. Pārejas noteikumu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12. pantu Direktīvā Nr. 2014/65 iekļautais 87.a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86. panta otrā daļa. Pārejas noteikumu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15. pantu Direktīvā Nr.  2019/2034 iekļautais 44.a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86. panta septītā, astotā un devītā daļu. Pārejas noteikumu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15. pantu Direktīvā Nr. 2019/2034 iekļautais 44.a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57. panta astotā daļa. Pārejas noteikumu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15. pantu Direktīvā Nr. 2019/2034 iekļautais 44.a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76. panta ceturtā daļa. Pārejas noteikumu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3. panta 1. punktu Direktīvas Nr. 2019/2034 3. panta 1. punktam pievienots 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 ieviests (Finanšu instrumentu tirgus likuma 1. panta pirmās daļas 91.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3. panta 1. punktu Direktīvas Nr. 2019/2034 3. panta 1. punktam pievienots 35.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3. panta 2. punktu aizstāts Direktīvas Nr. 2019/2034 26.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31. panta pirmās daļas 14.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3. panta 3. punkta "a" apakšpunktu Direktīvas Nr. 2019/2034 29. panta 1. punktam pievienots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 ieviests Latvijas Bankas 2024. gada 16. decembra noteikumu Nr. 375 "Ieguldījumu brokeru sabiedrību pārvaldības sistēmas noteikumi" 63. punkts un 64.3.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3. panta 3. punkta "b" apakšpunktu Direktīvas Nr. 2019/2034 29. panta 1. punktam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31. panta pirmās daļas 14.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3. panta 4. punktu Direktīvas Nr. 2019/2034 36. panta 1. punktam pievienota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43. panta (2</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3. panta 5. punkta "a" apakšpunktu aizstāta Direktīvas Nr. 2019/2034 39. panta 2.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2019/2034 29. panta 1. punkts ir  ieviests (un tiks attiecīgi papildināts atbilstoši Direktīvas Nr. 2024/2994 3. panta 3. punkta "a" apakšpunktam) Latvijas Bankas 2024. gada 16. decembra noteikumu Nr. 375 "Ieguldījumu brokeru sabiedrību pārvaldības sistēmas noteikumi" 63. punktā un 64.3. apakšpunktā. Attiecīgi tiek papildināts Likuma 43. panta otrās daļas 1. punkts. Līdz ar to jau esošā atsauce Likuma 45. panta pirmās daļas ievaddaļā uz Likuma 43. panta otro dalu aptver arī Direktīvas Nr. 2024/2994 3. panta 5. punkta "a" apakšpunktā pievienoto atsauci uz Direktīvas Nr. 2019/2034 29.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3. panta 5. punkta "b" apakšpunktu Direktīvas Nr. 2019/2034 39. panta 2. punktam pievienots "n"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45. panta pirmās daļas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https://vktap.mk.gov.lv/legal_acts/headers/5375d615-38b6-4e1a-9d8d-664d77eca7ef/public_participations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netika saņemti viedokļi, priekšlikumi vai iebildumi par Likumprojektu "Grozījumi Ieguldījumu brokeru sabiedrību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25-TA-2604</w:t>
    </w:r>
    <w:r>
      <w:br/>
    </w:r>
    <w:r w:rsidR="00000000" w:rsidRPr="00000000" w:rsidDel="00000000">
      <w:rPr>
        <w:rtl w:val="0"/>
      </w:rPr>
      <w:t xml:space="preserve">Izdrukāts 29.07.2026. 23.29 - 3.0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25-TA-2604</w:t>
    </w:r>
    <w:r>
      <w:br/>
    </w:r>
    <w:r w:rsidR="00000000" w:rsidRPr="00000000" w:rsidDel="00000000">
      <w:rPr>
        <w:rtl w:val="0"/>
      </w:rPr>
      <w:t xml:space="preserve">Izdrukāts 29.07.2026. 23.29 - 3.0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anotācija_(ex_ante)_25-TA-2604.docx</dc:title>
</cp:coreProperties>
</file>

<file path=docProps/custom.xml><?xml version="1.0" encoding="utf-8"?>
<Properties xmlns="http://schemas.openxmlformats.org/officeDocument/2006/custom-properties" xmlns:vt="http://schemas.openxmlformats.org/officeDocument/2006/docPropsVTypes"/>
</file>