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Maksājumu pakalpojumu un elektroniskās naudas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Maksājumu pakalpojumu un elektroniskās naudas likumā” (turpmāk – Likumprojekts) izstrādāts Eiropas Parlamenta un Padomes 2024. gada 13. marta regulas (ES) Nr. 2024/886, ar ko groza regulas (ES) Nr. 260/2012 un (ES) Nr. 2021/1230, un direktīvas 98/26/EK un (ES) 2015/2366 attiecībā uz tūlītējiem kredīta pārvedumiem </w:t>
      </w:r>
      <w:r w:rsidR="00000000" w:rsidRPr="00000000" w:rsidDel="00000000">
        <w:rPr>
          <w:i w:val="1"/>
          <w:rtl w:val="0"/>
        </w:rPr>
        <w:t xml:space="preserve">euro</w:t>
      </w:r>
      <w:r w:rsidR="00000000" w:rsidRPr="00000000" w:rsidDel="00000000">
        <w:rPr>
          <w:rtl w:val="0"/>
        </w:rPr>
        <w:t xml:space="preserve"> (Dokuments attiecas uz EEZ) (turpmāk – Regula 2024/886) ieviešanai.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Pārņemt Regulā 2024/886 iekļautās direktīvas 2015/2366, regulas 260/2012 grozījumus, un veicināt maksājumu jomas, īpaši tūlītēju kredīta pārvedumu attīstību, dodot tiesības Latvijā, citās ES valstīs, EEZ zonas valstīs licencētām maksājumu iestādēm un elektroniskās naudas iestādēm, kas sniedz maksājumu pakalpojumus, kļūt par tādu maksājumu un finanšu instrumentu sistēmu dalībniecēm, kas atbilst likumam “Par norēķinu galīgumu maksājumu un finanšu instrumentu norēķinu sistēmās”, veicinot konkurenci un nodrošinot vienādus apstākļus maksājumu pakalpojumu sniegšanai.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Eiropas Parlamenta un Padomes 2007. gada 13. novembra direktīvu 2007/64/EK par maksājumu pakalpojumiem iekšējā tirgū, ar ko groza direktīvas 97/7/EK, 2002/65/EK, 2005/60/EK un 2006/48/EK un atceļ direktīvu 98/5/EK (Dokuments attiecas uz EEZ), kas tika tālāk pilnveidota un aizstāta ar Eiropas Parlamenta un Padomes 2015. gada 25. novembra direktīvu (ES) 2015/2366 par maksājumu pakalpojumiem iekšējā tirgū, ar ko groza direktīvas 2002/65/EK, 2009/110/EK un 2013/36/ES un regulu (ES) Nr. 1093/2010 un atceļ direktīvu 2007/64/EK (Dokuments attiecas uz EEZ) (turpmāk – Direktīva 2015/2366), tika izveidota vienota Eiropas Savienības maksājumu pakalpojumu vide un maksājumu pakalpojumu sniegšana tika atļauta licencētiem un reģistrētiem nebanku maksājumu pakalpojumu sniedzējiem – maksājumu iestādēm un elektroniskās naudas iestādēm. Lai veiksmīgi piedāvātu un attīstītu maksājumu pakalpojumus, šo pakalpojumu sniedzējam nepieciešama iespēja kļūt par dalībnieku maksājumu sistēmās, tai skaitā sistēmiski nozīmīgās maksājumu sistēmās, kuras ir noteiktas par sistēmām saskaņā ar nacionālo regulējumu, kas ievieš Eiropas Parlamenta un Padomes 1998. gada 19. maija direktīvas 98/26/EK par norēķinu galīgumu maksājumu un vērtspapīru norēķinu sistēmās (turpmāk – Direktīva 98/26/EK)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martā Regulējuma kontroles padomes apstiprinātajā Direktīvas 2015/2366 ietekmes novērtējumā konstatēts, ka, neraugoties uz Direktīvas 2015/2366 ieviešanas pozitīvajiem rezultātiem, Eiropas Savienības maksājumu tirgū pastāv nevienlīdzīgi konkurences apstākļi starp kredītiestādēm un nebanku maksājumu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Direktīva 98/26/EK un Latvijas likums “Par norēķinu galīgumu maksājumu un finanšu instrumentu norēķinu sistēmās”, ar kuru ieviesta Direktīva 98/26/EK, nedeva iespēju maksājumu iestādēm un elektroniskās naudas iestādēm kļūt par tādu maksājumu sistēmu dalībniecēm, kas atbilst likumā “Par norēķinu galīgumu maksājumu un finanšu instrumentu norēķinu sistēmās” noteiktajam terminam “maksājumu un finanšu instrumentu sistēma” (turpmāk – NGL maksājumu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maksājumu iestāžu un elektroniskās naudas iestāžu potenciālo ieguldījumu tālākā tūlītēju kredīta pārvedumu attīstībā Eiropas Savienībā un lai nodrošinātu nediskriminējošus nosacījumus starp kredītiestādēm un nebanku maksājumu pakalpojumu sniedzējiem Eiropas Savienības vienotajā maksājumu pakalpojumu tirgū, 2024. gada 13. martā tika pieņemta Regula 2024/886, ar kuru tiek atcelti ierobežojumi maksājumu iestādēm un elektroniskās naudas iestādēm kļūt par tādu maksājumu sistēmu dalībniecēm, kuras par sistēmām noteiktas saskaņā ar nacionālo regulējumu, kas ievieš Direktīvas 98/26/EK prasības. Vienlaikus, lai pasargātu maksājumu sistēmu stabilitāti un integritāti, Regula 2024/886 nosaka papildu prasības, kādām maksājumu iestādēm un elektroniskās naudas iestādēm jāatbilst, lai tās varētu kļūt par šādu maksājumu sistēmu dalībniecēm.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2012. gada 4. marta regulas (ES) Nr. 260/2012, ar ko nosaka tehniskās un darbības prasības kredīta pārvedumiem un tiešā debeta maksājumiem </w:t>
      </w:r>
      <w:r w:rsidR="00000000" w:rsidRPr="00000000" w:rsidDel="00000000">
        <w:rPr>
          <w:i w:val="1"/>
          <w:rtl w:val="0"/>
        </w:rPr>
        <w:t xml:space="preserve">euro</w:t>
      </w:r>
      <w:r w:rsidR="00000000" w:rsidRPr="00000000" w:rsidDel="00000000">
        <w:rPr>
          <w:rtl w:val="0"/>
        </w:rPr>
        <w:t xml:space="preserve"> un groza regulu (EK) Nr. 924/2009 (Dokuments attiecas uz EEZ) (turpmāk – Regula 260/2012), prasības ir tieši piemērojamas maksājumu pakalpojumu sniedzējiem un tās prasību ieviešanu un piemērošanas uzraudzību īsteno Latvijas Banka. Maksājumu pakalpojumu un elektroniskās naudas likuma 56. panta pirmā daļa paredz tiesības Latvijas Bankai piemērot uzraudzības pasākumus un sankcijas tirgus dalībniekiem, kuri pārkāpuši Eiropas Savienības tieši piemērojamos tiesību aktus maksājumu pakalpojumu un elektroniskās naudas jomā. Tomēr Regulā 2024/886 iekļautās Regulas 260/2012 grozījumi ievieš papildu specifiskas monetāras sankcijas par atsevišķas šīs regulas tiesību normas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lai ieviestu Regulā 2024/886 iekļautās Direktīvas 2015/2366 un Regulas 260/2012 grozījumus, ir izstrādāts Likumprojekts.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54. un 55. pantā noteikta prasība, ka Latvijā funkcionējošās maksājumu sistēmas nodrošina objektīvus, nediskriminējošus un samērīgus piekļuves (dalības) nosacījumus visiem maksājumu pakalpojumu sniedzējiem – juridiskajām personām. Tomēr šīs prasības nepiemēro NGL maksājumu sistēmām. Tā kā šobrīd visas Latvijā darbojošās maksājumu sistēmas ir NGL maksājumu sistēmas, maksājumu iestādes un elektroniskās naudas iestādes nevar kļūt par dalībniecēm nevienā no maksājumu sistēmām Latvijā, līdzīgi kā citās dalībvalstīs nevar kļūt par dalībniecēm maksājumu sistēmās, kuras par tādām noteiktas saskaņā ar nacionālo regulējumu, kas ievieš Direktīvas 98/26/EK prasības. Tas, ka nav iespējama piekļuve noteiktām būtiskām maksājumu sistēmām, var traucēt maksājumu iestādēm un elektroniskās naudas iestādēm rezultatīvi, konkurētspējīgi un neatkarīgi no kredītiestādēm sniegt maksājumu pakalpojumus saviem klientiem.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noteiktas iespējas dalībvalstīs licencētām maksājumu iestādēm un elektroniskās naudas iestādēm, kuras sniedz maksājumu pakalpojumus, kļūt par dalībniecēm visās maksājumu sistēmās, arī tajās, kuras dalībvalstīs noteiktas par sistēmām saskaņā ar nacionālo regulējumu, kas ievieš Direktīvas 98/26/EK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izslēgt no Maksājumu pakalpojumu un elektroniskās naudas likuma izņēmumu, kas NGL maksājumu sistēmām ļauj atkāpties no šā likuma 54. un 55. pantā (saskaņā ar Likumprojekta 3. pantu 56.</w:t>
      </w:r>
      <w:r w:rsidR="00000000" w:rsidRPr="00000000" w:rsidDel="00000000">
        <w:rPr>
          <w:vertAlign w:val="superscript"/>
          <w:rtl w:val="0"/>
        </w:rPr>
        <w:t xml:space="preserve">1</w:t>
      </w:r>
      <w:r w:rsidR="00000000" w:rsidRPr="00000000" w:rsidDel="00000000">
        <w:rPr>
          <w:rtl w:val="0"/>
        </w:rPr>
        <w:t xml:space="preserve"> un 56.</w:t>
      </w:r>
      <w:r w:rsidR="00000000" w:rsidRPr="00000000" w:rsidDel="00000000">
        <w:rPr>
          <w:vertAlign w:val="superscript"/>
          <w:rtl w:val="0"/>
        </w:rPr>
        <w:t xml:space="preserve">2</w:t>
      </w:r>
      <w:r w:rsidR="00000000" w:rsidRPr="00000000" w:rsidDel="00000000">
        <w:rPr>
          <w:rtl w:val="0"/>
        </w:rPr>
        <w:t xml:space="preserve"> pantā)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ņemt vērā, ka, lai maksājumu iestādes un elektroniskās naudas iestādes varētu kļūt par maksājumu sistēmu dalībniecēm, tām būs jāatbilst attiecīgās maksājumu sistēmas prasībām un jāievēro tās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sistēmu, īpaši sistēmiski nozīmīgu maksājumu sistēmu, kuras ir noteiktas par sistēmām saskaņā ar nacionālo regulējumu, kas ievieš Direktīvas 98/26/EK prasības, droša un netraucēta darbība ir kritiska visas finanšu sistēmas darbībai, tādēļ ir būtiski pasargāt sistēmas no jebkādiem riskiem. Līdz ar to NGL maksājumu sistēmu risku ierobežošanai ir nepieciešamas papildu garantijas, ja tajās piedalās maksājumu iestādes un elektroniskās naudas iestādes.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iekļautas prasības par aizsargpasākumiem, kurām maksājumu iestādēm un elektroniskās naudas iestādēm ir jāatbilst, ja tās vēlas kļūt vai jau ir NGL maksājumu sistēmu dalībnieces.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NGL maksājumu sistēmu operatoriem nepieciešams pārliecināties par maksājumu iestādes vai elektroniskās naudas iestādes atbilstību Direktīvas 2015/2366 grozījumos paredzētajām prasībām par tās aizsargpasākumiem. Savukārt sistēmu operatoriem nav atbilstošas kompetences, lai novērtētu šādu iestādes atbilstību. Direktīvas 2015/2366 grozījumi paredz, ka dalībvalstij jānosaka procedūra, kā maksājumu sistēmas operatoram tiek sniegta pārliecība par šo atbilstību.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paredzēts noteikt, ka maksājumu iestāde vai elektroniskās naudas iestāde, kas vēlas kļūt par NGL maksājumu sistēmas dalībnieci, iesniedz sistēmas operatoram savas uzraudzības institūcijas apliecinājumu, ar kuru tā apstiprina atbilstību Maksājumu pakalpojumu un elektroniskās naudas likumā minētajām prasībām. Šāda uzraudzības institūcijas apliecinājuma pieprasīšana atbilst vienai no Direktīvas 2015/2366 grozījumos minētajām procedūrām.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un elektroniskās naudas likuma 56. panta pirmā daļa paredz maksājumu pakalpojumu sniedzējiem vienotu piemērojamo uzraudzības pasākumu un sankciju uzskaitījumu par pārkāpumiem maksājumu pakalpojumu un elektroniskās naudas jomā, bet Regulā 2024/886 iekļautās Regulas 260/2012 grozījumi paredz specifisku monetārās sankcijas apmēru par šajā regulā ieviestās jaunās prasības pārkāpumiem fiziskām un juridiskām personām. Jaunā sankcija paredz par Regulas 260/2012 5.d panta pārkāpumiem juridiskai personai piemērot soda naudu līdz 10 procentiem no kopējā gada apgrozījuma. Savukārt attiecībā uz fiziskām personām par Regulas 260/2012 5.d panta pārkāpumiem minētā regula paredz piemērot soda naudu līdz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260/2012 11. panta 1.a punkts paredz, ka dalībvalstīm ir jāparedz noteikumi par sankcijām, kas piemērojamas par šīs regulas 5.a līdz 5.d panta pārkāpumiem, un jāveic visi vajadzīgie pasākumi, lai nodrošinātu to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Maksājumu pakalpojumu un elektroniskās naudas likuma 56.pantu ar jaunu daļu, kurā noteiktas sankcijas par Regulas 260/2012 5.d panta prasību pārkāpumiem, kā tas ir noteikts Regulā 260/2012. Par Regulas 260/2012 5.a līdz 5.c panta pārkāpumiem būs piemērojami Maksājumu pakalpojumu un elektroniskās naudas likuma 56. panta pirmajā daļā noteiktie uzraudzības pasākumi un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izmantotāji – fiziskās personas, kas izmanto maksājumu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vienlīdzīgākus maksājumu pakalpojumu sniedzēju konkurences apstākļus. Tādējādi tiks paplašinātas maksājumu pakalpojumu izvēles iespējas, kas savukārt var labvēlīgi ietekmēt pakalpojumu cenas.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Juridiskās personas, kas sniedz maksājumu pakalpojumus un kas dalībvalstī ir saņēmušas licenci maksājumu pakalpojumu sniegšanai, tai skaitā SEPA kredīta pārvedumu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Maksājumu pakalpojumu izmantotāji – juridiskās personas, kas izmanto maksājumu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rada iespēju dalībvalstī licencētai maksājumu iestādei vai elektroniskās naudas iestādei kļūt par NGL maksājumu sistēmu dalībnieci norēķinu galīguma izpratnē. Lai kļūtu par šādu sistēmu dalībnieci, iestādei būs jānodrošina atbilstība Maksājumu pakalpojumu un elektroniskās naudas likumā minētajām prasībām, kas var radīt nepieciešamību uzlabot iestādes procedūras un investēt jaunos tehniskos risinājumos.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iestādei, lai tā pieteiktos dalībai maksājumu sistēmā, būs jāiegūst savas uzraudzības institūcijas apliecinājums par iestādes atbilstību Maksājumu pakalpojumu un elektroniskās naudas likumā uzskaitītajām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nodrošina vienlīdzīgākus maksājumu pakalpojumu sniedzēju konkurences apstākļus. Tādējādi tiks paplašinātas maksājumu pakalpojumu izvēles iespējas, kas savukārt var labvēlīgi ietekmēt pakalpojumu cenas.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Grozījumi likumā “Par norēķinu galīgumu maksājumu un finanšu instrumentu norēķinu sistēmās”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2024/886 5. pants paredz, ka Eiropas Savienības dalībvalstis un Eiropas Ekonomikas zonas valstis (turpmāk – dalībvalstis) ne vēlāk kā līdz 2025. gada 9. aprīlim pieņem, publicē un piemēro normatīvos un administratīvos aktus, kas nepieciešami, lai nodrošinātu atbilstību šīs regulas 3. un 4.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pārņemtu Regulas 2024/886 4. pantā iekļautās Direktīvas 98/26/EK grozījumus, vienlaikus ar Likumprojektu ir sagatavoti grozījumi likumā “Par norēķinu galīgumu maksājumu un finanšu instrumentu norēķinu sistēmās”, ar kuriem tiek papildināts termina “iestāde” skaidrojums, iekļaujot tajā dalībvalstī licencētas maksājumu iestādes un elektroniskās naudas iestādes un tādējādi paredzot iespēju šīm iestādēm kļūt par NGL maksājumu sistēmu dalībniecēm.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Šim Likumprojektam un likumprojektam “Grozījumi likumā “Par norēķinu galīgumu maksājumu un finanšu instrumentu norēķinu sistēmās”” jāstājas spēkā vienlaikus.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2024/886 (2024. gada 13. marts), ar ko groza regulas (ES) Nr. 260/2012 un (ES) Nr. 2021/1230, un direktīvas 98/26/EK un (ES) 2015/2366 attiecībā uz tūlītējiem kredīta pārvedumiem euro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5.4. apakšpunkta 1. tabulu.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2024/886 iekļautās Direktīvas 2015/2366 grozījumu transponēšanas termiņš ir 2025. gada 9. aprīlis.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2024/886 (2024. gada 13. marts), ar ko groza regulas (ES) Nr. 260/2012 un (ES) Nr. 2021/1230, un direktīvas 98/26/EK un (ES) 2015/2366 attiecībā uz tūlītējiem kredīta pārvedumiem euro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3. panta 1. punkts (Direktīvas 2015/2366 10.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 pants (Likuma 38. panta pirmās daļas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3. panta 2. punkts (Direktīvas 2015/2366 35.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56.</w:t>
            </w:r>
            <w:r w:rsidR="00000000" w:rsidRPr="00000000" w:rsidDel="00000000">
              <w:rPr>
                <w:sz w:val="24"/>
                <w:vertAlign w:val="superscript"/>
                <w:rtl w:val="0"/>
              </w:rPr>
              <w:t xml:space="preserve">2</w:t>
            </w:r>
            <w:r w:rsidR="00000000" w:rsidRPr="00000000" w:rsidDel="00000000">
              <w:rPr>
                <w:sz w:val="24"/>
                <w:rtl w:val="0"/>
              </w:rPr>
              <w:t xml:space="preserve"> panta otrā, trešā un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3. panta 3. punkts (Direktīvas 2015/2366 35.a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56.</w:t>
            </w:r>
            <w:r w:rsidR="00000000" w:rsidRPr="00000000" w:rsidDel="00000000">
              <w:rPr>
                <w:sz w:val="24"/>
                <w:vertAlign w:val="superscript"/>
                <w:rtl w:val="0"/>
              </w:rPr>
              <w:t xml:space="preserve">3</w:t>
            </w:r>
            <w:r w:rsidR="00000000" w:rsidRPr="00000000" w:rsidDel="00000000">
              <w:rPr>
                <w:sz w:val="24"/>
                <w:rtl w:val="0"/>
              </w:rPr>
              <w:t xml:space="preserve"> pants un 56.</w:t>
            </w:r>
            <w:r w:rsidR="00000000" w:rsidRPr="00000000" w:rsidDel="00000000">
              <w:rPr>
                <w:sz w:val="24"/>
                <w:vertAlign w:val="superscript"/>
                <w:rtl w:val="0"/>
              </w:rPr>
              <w:t xml:space="preserve">4</w:t>
            </w:r>
            <w:r w:rsidR="00000000" w:rsidRPr="00000000" w:rsidDel="00000000">
              <w:rPr>
                <w:sz w:val="24"/>
                <w:rtl w:val="0"/>
              </w:rPr>
              <w:t xml:space="preserve">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2024/886 1. panta 3. punkts (Regulas 260/2012 11. panta 1.b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 pants (Likuma 56. panta 2.</w:t>
            </w:r>
            <w:r w:rsidR="00000000" w:rsidRPr="00000000" w:rsidDel="00000000">
              <w:rPr>
                <w:sz w:val="24"/>
                <w:vertAlign w:val="superscript"/>
                <w:rtl w:val="0"/>
              </w:rPr>
              <w:t xml:space="preserve">3</w:t>
            </w:r>
            <w:r w:rsidR="00000000" w:rsidRPr="00000000" w:rsidDel="00000000">
              <w:rPr>
                <w:sz w:val="24"/>
                <w:rtl w:val="0"/>
              </w:rPr>
              <w:t xml:space="preserve">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ES tiesību aktā paredzēta iespēja dalībvalstij noteikt procedūru, ar kādu maksājumu sistēmas operators pārliecinās par potenciālā dalībnieka – maksājumu iestādes vai elektroniskās naudas iestādes – atbilstību likuma prasībām. Likumprojektā izvēlēta viena no ES tiesību aktā minētajām iespējām, proti, ka procedūra ir balstīta uz iestādes uzraudzības institūcijas apliecinājumu.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Norādītas tikai konkrēti uz Likumprojektu tieši attiecināmās normas.</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Banka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24-TA-698</w:t>
    </w:r>
    <w:r>
      <w:br/>
    </w:r>
    <w:r w:rsidR="00000000" w:rsidRPr="00000000" w:rsidDel="00000000">
      <w:rPr>
        <w:rtl w:val="0"/>
      </w:rPr>
      <w:t xml:space="preserve">Izdrukāts 29.07.2026. 22.22 - 1.0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24-TA-698</w:t>
    </w:r>
    <w:r>
      <w:br/>
    </w:r>
    <w:r w:rsidR="00000000" w:rsidRPr="00000000" w:rsidDel="00000000">
      <w:rPr>
        <w:rtl w:val="0"/>
      </w:rPr>
      <w:t xml:space="preserve">Izdrukāts 29.07.2026. 22.22 - 1.0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anotācija_(ex_ante)_24-TA-698.docx</dc:title>
</cp:coreProperties>
</file>

<file path=docProps/custom.xml><?xml version="1.0" encoding="utf-8"?>
<Properties xmlns="http://schemas.openxmlformats.org/officeDocument/2006/custom-properties" xmlns:vt="http://schemas.openxmlformats.org/officeDocument/2006/docPropsVTypes"/>
</file>