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2.1.2.1.i. investīcijas projekta "Vienotā kontaktu centra platformas (112) un Elektronisko notikumu žurnālu valsts un pašvaldību līmenī integrācija" pases un centralizētās funkcijas vai koplietošanas pakalpojuma attīstības plāna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projekta "Vienotā kontaktu centra platformas (112) un Elektronisko notikumu žurnālu valsts un pašvaldību līmenī integrācija" pases un centralizētās funkcijas vai koplietošanas pakalpojuma attīstības plāna apstiprināšanu" (turpmāk - Rīkojuma projekts) izstrādāts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Nr.435) nosacījumiem. Rīkojuma projektu (projekta pase) ir sagatavojis finansējuma saņēmējs Iekšlietu ministrijas Informācijas centrs. Projekts “Vienotā kontaktu centra platformas (112) un Elektronisko notikumu žurnālu valsts un pašvaldību līmenī integrācija" (turpmāk - Projekts) tiks īstenots MK noteikumu Nr. 435 4. pielikumā "Reformu un investīciju virziena īstenošanas atbildības sadalījums" iekļautā nolūka "Pašvaldību pakalpojumu digitālā transformācija un pašvaldību atbalsta procesu modernizācija un centralizācija, t.sk. sadarbībā ar valsts pārvaldes institūcijām”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 Atveseļošanas un noturības mehānisma plāna 2. komponentes “Digitālā transformācija” 2.1. reformu un investīciju virzienā "Valsts pārvaldes, tai skaitā pašvaldību, digitālā transformācija" kā vienu no prioritātēm ir izvirzījusi pilnveidot un attīstīt koplietošanas platformu pašvaldību pārvaldes un atbalsta funkciju nodrošināšanai. Lai šis mērķis tiktu sasniegts, ir plānots īstenot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izstrādāts saskaņā ar MK noteikumu Nr. 435 nosacījumiem. Projekts tiks īstenots un tā projekta pase izstrādāta atbilstoši MK noteikumu Nr. 435 4. pielikumā "Reformu un investīciju virziena īstenošanas atbildības sadalījums" iekļautajam nolūkam "Pašvaldību pakalpojumu digitālā transformācija un pašvaldību atbalsta procesu modernizācija un centralizācija, t.sk. sadarbībā ar valsts pārvaldes institūcijām“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īstenošanā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attīstīt Vienotā notikumu reģistra (turpmāk - VNR) koplietošanas platformu informācijas par notikumiem apmaiņai un datu pārvaldībai, pilnveidojot VNR un ietverot Vienota kontaktu centra platformas (112) (turpmāk - VKCP) un Elektronisko notikumu žurnālu (turpmāk - ENŽ) integrāciju valsts un pašvaldību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iekļaut VNR jaunā E-lietas tehnoloģiskajā platformā, nodrošinot integrācijas ar citiem E-lietas platformas risinājumiem, lai nodrošinātu informācijas apmaiņu. VNR moduļos uzkrātie dati un informācija tiks izmantota saistītajās informācijas sistēmās, t.sk. KRASS, APAS utt. (piem., dati par izņemtām mantām, dokumentiem, transporta līdzekļiem), VNR būs izmantojams analītiskām vajadzībām, valsts līmeņa statistikas pilnveidošanai, notikumu likumsakarību meklēšanai un noteikšanai.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nozīmīgākajām Valsts policijas un valstspilsētu un novadu pašvaldību policiju institūciju sadarbības jomām ir efektīva un operatīva informācijas aprite. Tā nodrošina Valsts policijas un valstspilsētu un novadu pašvaldības policiju koordinētu rīcību un resursu ekonomiju.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informācijas apriti starp tiesībaizsardzības iestādēm un glābšanas dienestiem, „Eiropas Reģionālās attīstības fonda” finansētā projekta ietvaros Iekšlietu ministrijā tika izstrādāta vienotā notikumu reģistrācijas sistēma – „Vienotais notikumu reģistrs” (turpmāk – reģistrs). Reģistrā uzkrātā informācija satur ziņas par notikumiem valstī (satiksmes negadījumiem, ģimenes konfliktiem, ugunsgrēkiem, noziedzīgiem nodarījumiem un citiem likumpārkāpumiem), ziņas par šajos notikumos iesaistītajām personām, ar notikumu saistītajiem priekšmetiem un dokumentiem. Reģistra darbības tiesiskais pamats ir Ministru kabineta 2012.gada 20.marta noteikumi Nr.190 „Noteikumi par notikumu reģistrēšanas kārtību un policijas reaģēšanas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 likuma “Par policiju” pārejas noteikumu 13.punkts nosaka, ka Pašvaldības policija un ostas policija iesniegumus un informāciju par iespējamiem likumpārkāpumiem un notikumiem, kuri apdraud personu vai sabiedrības drošību, sāk reģistrēt vienotajā notikumu reģistrā ne vēlāk kā 2025. gada 1. janvārī. Uz doto brīdi notikumu reģistrēšanu Iekšlietu ministrijas Informācijas centra uzturētajā VNR veic Valsts policija, Valsts ugunsdzēsības un glābšanas dienests un 12 novadu pašvaldību policijas, savukārt pārējās valstspilsētu un novadu pašvaldību policijas un citas institūcijas notikumu uzskaiti veic elektroniski notikumu uzskaites žurnālos vai citā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visas valstspilsētu un novadu pašvaldības policijas nodrošinātu vienveidīgas informācijas par notikumiem reģistrēšanu un nodrošinātu reģistrētās informācijas apriti starp pašvaldības policijas institūcijām, Valsts policiju un citām tiesību aizsardzības institūcijām elektroniskā veidā, nepieciešams veikt VNR pilnveidi, kas ietvers integrācijas ar esošajām valstspilsētu un novadu pašvaldību policiju notikumu elektroniskajiem žurnāliem un integrāciju ar VKCP operatīvo dienestu darba atbalstam. Pašvaldībām, kurām līdz šim nav ieviests savs notikumu uzskaites elektroniskais reģistrs, tiks nodrošināta iespēja ievadīt datus par notikumiem VNR.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rezultātā tiks izveidota vienota notikumu datu bāze valsts mērogā, nodrošinot inovatīvu, stabilu un drošu risinājumu, kas uzlabos informācijas apmaiņu un datu pārvaldību, sadarbības efektivitāti, atvieglos datu analītikas procesus, nodrošinās efektīvu sadarbību un resursu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VNR risinājums veicinās pārvaldes procesu uzlabošanu un nodrošinās efektīvu datu apmaiņu starp valsts un pašvaldību iestādēm - ļaus centralizēti apstrādāt datus un nodrošināt vienotu pieeju informācijai, kas, savukārt, kopumā ļaus samazināt izmeklēšanas termiņus un izdevumus, jo dati būs pieejami vienuviet. Platforma ļaus pašvaldībām piekļūt valsts iestāžu datiem un otrādi. Tas ir īpaši noderīgi, piemēram, kriminālprocesos vai administratīvā pārkāpuma procesos, kad ir nepieciešama informācija par personām, mantām vai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 VNR iekļaušana jaunā E-lietas tehnoloģiskajā platformā, integrācija ar citiem E-lietas platformas risinājumiem, lai nodrošinātu informācijas apmaiņu. VNR moduļos uzkrātie dati un informācija tiks izmantota saistītajās informācijas sistēmās, t.sk. KRASS, APAS utt. (piem., dati par izņemtām mantām, dokumentiem, transporta līdzekļiem), tiks izmantojama analītiskām vajadzībām, valsts līmeņa statistikas pilnveidošanai, notikumu likumsakarību meklēšanai un noteikšanai.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veikta valstspilsētu un novadu pašvaldību policiju un citu pašvaldības struktūru  notikumu žurnālu integrācija ar VNR, nododot ziņas par notikumiem servisu  veidā vai ievadot notikumus VNR, un VNR integrācija ar VKCP (112) operatīvo dienestu darba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apstiprināšanas Ministru kabinetā Projekta Iekšlietu ministrijas Informācijas centrs kā finansējuma saņēmējs saskaņā ar MK noteikumu Nr. 435 13.2. apakšpunktu pēc Vides aizsardzības un reģionālās attīstības ministrijas saņemtā uzaicinājuma par projekta iesnieguma iesniegšanu, to sniegs, ievadot Kohēzijas politikas fondu vadības informācijas sistēmā projekta iesnieguma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iesnieguma iesniegšanu un projekta īstenošanu, un projekta pasē plānoto rezultātu (tai skaitā finanšu, rezultāta un iznākuma rādītāju) sasniegšanu atbildīgs ir 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Iekšlietu ministrijas Informācijas centram, Valsts policijai un pašvaldībām projekta ietvaros tiks sniegts to valsts deleģēto funkciju ietvaros šo funkciju veikšanai. Projekta ietvaros komercdarbības atbalsts netiks 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pievienoti sadarbības partneru apliecinājumi (papildu dokumenti) par to, ka sadarbības partneri piedalīsies VNR pilnveidē un ieviešanā, kas  ietvers VKCP un ENŽ valsts un pašvaldību līmenī integrāciju, kā arī - izmantos Projekta rezultātā izveidoto VNR funkcionalitāti vai VNR integrāciju ar pašvaldības ENŽ.</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Rīkojuma projektam pievienots Iekšlietu ministrijas valsts sekretāra D.Trofimova apliecinājums, ka Projekts ir lietderīgs un augsti prioritārs nozares politikas īstenošanai un ka Iekšlietu ministrijas Informācijas centra rīcībā ir pietiekami cilvēkresursi un finanšu līdzekļi Projekta īstenošanai un īstenošanas uzraudzībai, kā arī, ka atbildību par Projekta rezultātu uzturēšanu vismaz piecus gadus pēc Projekta īstenošanas, kā arī to, ka uz Projekta īstenošanas beigām tiks apstiprināts tiesiskais regulējums, kas nosaka Projekta ietvaros izveidoto/attīstīto informācijas un komunikācijas tehnoloģiju risinājumu vai izveidotās centralizētās funkcijas un koplietošanas pakalpojuma darbību un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435 4.pielikumā "Reformu un investīciju virziena īstenošanas atbildības sadalījums" norādīto IeM IC atbildībā ir investīcijas 2.1.2.1. nolūka "Pašvaldību pakalpojumu digitālā transformācija un pašvaldību atbalsta procesu modernizācija un centralizācija, t.sk. sadarbībā ar valsts pārvaldes institūcijām" projekts “Vienotā kontaktu centra platformas (112) un Elektronisko notikumu žurnālu valsts un pašvaldību līmenī integrācija", tā kopējais finansējums bez PVN ir 3 000 000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kas izmantos Projekta īstenošanas rezultātā ieviestos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būs labvēlīga ietekme, jo tiks ieviesta VNR  koplietošanas platforma, integrējot to ar valstspilsētu un novadu pašvaldību policiju elektroniskajiem notikumu žurnāliem un Vienoto kontaktu centra platformu (112).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1 762 500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1 762 500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plānots īstenot no 2024. gada septembra līdz 2026. gada 31.maijam. Līdz 2026. gada 31. maijam paredzēts iesniegt noslēguma maksājuma dokumentāciju. Projekta administratīvās izmaksas paredzētas līdz 20 % no Atveseļošanas un noturības mehānisma finansējuma – 500 000 </w:t>
            </w:r>
            <w:r w:rsidR="00000000" w:rsidRPr="00000000" w:rsidDel="00000000">
              <w:rPr>
                <w:sz w:val="24"/>
                <w:i w:val="1"/>
                <w:rtl w:val="0"/>
              </w:rPr>
              <w:t xml:space="preserve">euro</w:t>
            </w:r>
            <w:r w:rsidR="00000000" w:rsidRPr="00000000" w:rsidDel="00000000">
              <w:rPr>
                <w:sz w:val="24"/>
                <w:rtl w:val="0"/>
              </w:rPr>
              <w:t xml:space="preserve">. Projekta kopējās izmaksas ir 3 525 000</w:t>
            </w:r>
            <w:r w:rsidR="00000000" w:rsidRPr="00000000" w:rsidDel="00000000">
              <w:rPr>
                <w:sz w:val="24"/>
                <w:i w:val="1"/>
                <w:rtl w:val="0"/>
              </w:rPr>
              <w:t xml:space="preserve"> 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projekta īstenošanas izdevumu apmērs no Atveseļošanas un noturības mehānisma finansējuma plānots 3 000 000 </w:t>
            </w:r>
            <w:r w:rsidR="00000000" w:rsidRPr="00000000" w:rsidDel="00000000">
              <w:rPr>
                <w:sz w:val="24"/>
                <w:i w:val="1"/>
                <w:rtl w:val="0"/>
              </w:rPr>
              <w:t xml:space="preserve">euro</w:t>
            </w:r>
            <w:r w:rsidR="00000000" w:rsidRPr="00000000" w:rsidDel="00000000">
              <w:rPr>
                <w:sz w:val="24"/>
                <w:rtl w:val="0"/>
              </w:rPr>
              <w:t xml:space="preserve"> apmērā, un valsts budžeta finansējums pievienotās vērtības nodokļa (turpmāk - PVN) izmaksu segšanai plānots 525 000 </w:t>
            </w:r>
            <w:r w:rsidR="00000000" w:rsidRPr="00000000" w:rsidDel="00000000">
              <w:rPr>
                <w:sz w:val="24"/>
                <w:i w:val="1"/>
                <w:rtl w:val="0"/>
              </w:rPr>
              <w:t xml:space="preserve">euro</w:t>
            </w:r>
            <w:r w:rsidR="00000000" w:rsidRPr="00000000" w:rsidDel="00000000">
              <w:rPr>
                <w:sz w:val="24"/>
                <w:rtl w:val="0"/>
              </w:rPr>
              <w:t xml:space="preserve"> apmērā ((Atveseļošanas un noturības mehānisma plāna finansējums - administratīvās izmaksas)*0,21= (3 000 000 - 500 000)*0,21 = 525 000)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655"/>
              <w:gridCol w:w="3655"/>
              <w:gridCol w:w="937"/>
              <w:gridCol w:w="910"/>
              <w:gridCol w:w="896"/>
              <w:gridCol w:w="1100"/>
              <w:tblGridChange w:id="0">
                <w:tblGrid>
                  <w:gridCol w:w="3655"/>
                  <w:gridCol w:w="3655"/>
                  <w:gridCol w:w="937"/>
                  <w:gridCol w:w="910"/>
                  <w:gridCol w:w="896"/>
                  <w:gridCol w:w="1100"/>
                </w:tblGrid>
              </w:tblGridChange>
            </w:tblGrid>
            <w:tr>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Pozīcija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kopā</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VNR pilnveidošana, VNR integrācija ar Pašvaldību ENŽ, VNR iekļaušana jaunā E-lietas tehnoloģiskajā platformā, integrācija ar VKCP (112).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Bez PVN (EKK 5000, Kapitālie ieguldījumi)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2 500 000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(valsts budžeta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525 000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ar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3 025 000</w:t>
                  </w:r>
                </w:p>
              </w:tc>
            </w:tr>
            <w:tr>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Administratīvās izmaksas (EKK 1000, Atalgojums)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500 000</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Atveseļošanās un noturības mehānisma finansējums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3 000 000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525 000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1 762 500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3 525 000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VNR projektēšanas, pilnveides un kvalitātes kontroles pabeigšanas ik gadu (no 2026. gada 1.jūnija) nepieciešamais finansējums uzturēšanas izdevumu segšanai provizoriski ir 450 000 </w:t>
            </w:r>
            <w:r w:rsidR="00000000" w:rsidRPr="00000000" w:rsidDel="00000000">
              <w:rPr>
                <w:sz w:val="24"/>
                <w:i w:val="1"/>
                <w:rtl w:val="0"/>
              </w:rPr>
              <w:t xml:space="preserve">euro</w:t>
            </w:r>
            <w:r w:rsidR="00000000" w:rsidRPr="00000000" w:rsidDel="00000000">
              <w:rPr>
                <w:sz w:val="24"/>
                <w:rtl w:val="0"/>
              </w:rPr>
              <w:t xml:space="preserve">, ņemot vērā Informācijas centra uzturēšanas un izstrādes izmaksas informācijas sistēmām un platformām, kas pēc savas funkcionalitātes un apjoma ir līdzīgas.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nepieciešamais finansējums, tai skaitā PVN izmaksu segšanai, Iekšlietu ministrijas Informācijas centra budžetā tiks pārdalīts no 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atbilstoši Ministru kabineta 2018. gada 17. jūlija noteikumos Nr. 421 “Kārtība, kādā veic gadskārtējā valsts budžeta likumā noteiktās apropriācijas izmaiņas” (turpmāk - Noteikumi Nr.421)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nepieciešamais finansējums projekta rezultātu uzturēšanai tiks pieprasīts saskaņā ar Ministru kabineta 2023. gada 17. janvāra noteikumu Nr.15 “Maksimāli pieļaujamā valsts budžeta izdevumu kopapjoma un katrai ministrijai un citai centrālajai valsts iestādei paredzētā izdevumu kopējā apjoma noteikšanas kārtība vidējam termiņam” 9.4. apakšpunktu, ņemot vērā izmaiņas izdevumos pabeigto Eiropas Savienības politiku instrumentu un pārējās ārvalstu finanšu palīdzības līdzfinansēto projektu uzturēšanai, ja projekts vai tā posms ir pilnībā pabeigts, nodots ekspluatācijā, par to ir veikts galīgā norēķina maksājums un tas turpmāk jāfinansē no valsts budžeta līdzekļiem, un saskaņā ar Noteikumiem Nr.421, ja finansējums attiecīgajā gadā nepieciešams pirms tiek precizētas izmaiņas izdevumos pabeigto Eiropas Savienības politiku instrumentu un pārējās ārvalstu finanšu palīdzības līdzfinansēto projektu uzturēšanai atbilstoši noteikumiem Nr.15.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izmaksas nav attiecināmas finansēšanai no Atveseļošanas un noturības mehānisma finansējuma.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regulē Vides aizsardzības un reģionālās attīstības ministrijas saistības ar projekta īstenotāju Iekšlietu ministrijas Informācijas centru kā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Tā kā tiesību akta projekts neatbilst minētajiem kritērijiem, sabiedrības līdzdalības kārtība projekta izstrādē netiek piemērota. Projekts un tā anotācija būs publiski pieejami Ministru kabineta tīmekļvietnes sadaļā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Valstspilsētu un novadu pašvaldības; Ostas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īstenošanas ietvaros tiks efektivizētas, digitalizētas un optimizētas valsts un pašvaldības procesu normatīvajos aktos noteiktās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īstenošanas ietvaros tiks efektivizētas, digitalizētas un optimizētas valsts un pašvaldības procesu normatīvajos aktos noteiktās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īstenošanas ietvaros tiks efektivizētas, digitalizētas un optimizētas valsts un pašvaldības procesu normatīvajos aktos noteiktās pamatdarbības funkcijas un datu aprites procesi.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aktivitātes, tiks izveidoti integrācijas risinājumi efektīvai datu apmaiņai starp valsts un pašvaldību iestādēm.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īstenotājam jānodrošina, ka projekts izpilda principa “Nenodarīt būtisku kaitējumu” prasības atbilstoši Atveseļošanas un noturības mehānisma plānā, Eiropas Savienībā un Latvijā noteiktajiem vides tiesību aktiem.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 aicināti ievērot zaļā publiskā iepirkuma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Izveidojot Vienota notikumu reģistra integrāciju ar pašvaldību reģistriem/sistēmām un Vienota kontaktu centra platformas operatīvo dienestu darba atbalstam VKCP (112) un Elektronisko notikumu žurnāla integrācijas risinājumu, jāievēro un jānodrošina personu datu aizsardzība.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24-TA-863</w:t>
    </w:r>
    <w:r>
      <w:br/>
    </w:r>
    <w:r w:rsidR="00000000" w:rsidRPr="00000000" w:rsidDel="00000000">
      <w:rPr>
        <w:rtl w:val="0"/>
      </w:rPr>
      <w:t xml:space="preserve">Izdrukāts 30.07.2026. 00.28 - 2.0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24-TA-863</w:t>
    </w:r>
    <w:r>
      <w:br/>
    </w:r>
    <w:r w:rsidR="00000000" w:rsidRPr="00000000" w:rsidDel="00000000">
      <w:rPr>
        <w:rtl w:val="0"/>
      </w:rPr>
      <w:t xml:space="preserve">Izdrukāts 30.07.2026. 00.28 - 2.0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anotācija_(ex_ante)_24-TA-863.docx</dc:title>
</cp:coreProperties>
</file>

<file path=docProps/custom.xml><?xml version="1.0" encoding="utf-8"?>
<Properties xmlns="http://schemas.openxmlformats.org/officeDocument/2006/custom-properties" xmlns:vt="http://schemas.openxmlformats.org/officeDocument/2006/docPropsVTypes"/>
</file>