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Kriminālprocesa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novembrī Eiropas Parlaments un Eiropas Savienības Padome pieņēma Eiropas Parlamenta un Padomes 2024. gada 27. novembra regulu (ES) 2024/3011 par tiesvedības nodošanu krimināllietās (turpmāk – regula Nr. 2024/3011). Saskaņā ar regulas Nr. 2024/3011 36. pantu, to sāks piemērot visās Eiropas Savienības (turpmāk – ES) dalībvalstīs, izņemot Dāniju, sākot ar 2027. gada 1. februāri.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normatīvā regulējuma atbilstību Eiropas Parlamenta un Padomes 2024. gada 27. novembra Regulai (ES) 2024/3011 par tiesvedības nodošanu krimināllietās.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27. novembra Regula (ES) 2024/3011 par tiesvedības nodošanu krimināllietās (turpmāk – regula Nr. 2024/3011) stājās spēkā divdesmitajā dienā pēc tās publicēšanas Eiropas Savienības Oficiālajā Vēstnesī un būs piemērojama no 2027. gada 1. februāra. Regulas 24. pantam ir paredzēts atšķirīgs piemērošanas sākums, kas būs nosakāms pēc regulas 25. pantā minēto Eiropas Komisijas īstenošanas aktu par decentralizētās informācijas tehnoloģiju sistēmas izveidi pieņemšanas.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2024/3011 mērķis ir uzlabot kriminālprocesu efektivitāti pārrobežu lietās, nodrošinot, ka izmeklēšanu vai kriminālvajāšanu veic vispiemērotākā Eiropas Savienības dalībvalsts, kā arī mazinot paralēlu kriminālprocesu un ne bis in idem principa pārkāpuma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(turpmāk – KPL) 67. nodaļa pašlaik regulē ārvalstī uzsākta kriminālprocesa pārņemšanu Latvijā, savukārt KPL 68. nodaļa – Latvijā uzsākta kriminālprocesa nodošanu ārvalstij. Šis regulējums neietver visas institucionālās un procesuālās prasības, kas nepieciešamas regulas Nr. 2024/3011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regula Nr. 2024/3011 ir tieši piemērojama, KPL nav ietverta vispārēja atsauce uz tās piemērošanu, kā arī nav skaidri nošķirts regulējums sadarbībai ar Eiropas Savienības dalībvalstīm (turpmāk - ES dalībvalstis), kurām tā ir saistoša, no regulējuma sadarbībai ar Dāniju un valstīm, kas nav ES dalībvalstis.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 pants </w:t>
      </w:r>
      <w:r w:rsidR="00000000" w:rsidRPr="00000000" w:rsidDel="00000000">
        <w:rPr>
          <w:rtl w:val="0"/>
        </w:rPr>
        <w:t xml:space="preserve">paredz papildināt 723. pantu ar otro daļu, nosakot, ka kriminālprocesa pārņemšana Latvijā pēc ES dalībvalsts kriminālprocesa nodošanas pieprasījuma notiek saskaņā ar regulu Nr. 2024/3011. ES dalībvalstīm, kurām nav saistoša regula Nr. 2024/3011 (Dānija), piemēro KPL 67. nodaļā noteikto kārtību. Tādējādi minētajā normā papildus jau spēkā esošajam regulējumam tiek noteikts, ka kriminālprocesa pārņemšana Latvijā pēc ES dalībvalsts kriminālprocesa nodošanas pieprasījuma notiek saskaņā ar regulu Nr. 2024/3011.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 pants</w:t>
      </w:r>
      <w:r w:rsidR="00000000" w:rsidRPr="00000000" w:rsidDel="00000000">
        <w:rPr>
          <w:rtl w:val="0"/>
        </w:rPr>
        <w:t xml:space="preserve"> paredz papildināt 741. pantu ar trešo daļu, nosakot, ka ES dalībvalsts pieprasījumu par kriminālprocesa nodošanu citai dalībvalstij izpilda saskaņā ar regulu Nr. 2024/3011. ES dalībvalstīm, kurām nav saistoša regula Nr. 2024/3011, piemēro KPL 68. nodaļā noteikto kārtību. Līdz ar to minētajā normā tiek paredzēta vispārīga atsauce uz regulas Nr. 2024/3011 piemērošanu Latvijā uzsākta kriminālprocesa nodošanai citai Eiropas Savienības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Nemainīgs paliek tiesiskais regulējums attiecībā uz ārvalstīm, kuras nav ES dalībvalstis un ar kurām tiesiskā sadarbība notiek, pamatojoties uz starptautiskām konvencijām vai uz savstarpējības principa pamata. Tiesiskā sadarbība ar minētajām valstīm arī turpmāk notiks KPL 67. un 68. nodaļā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pašlaik nav tieši paredzētas aizdomās turētā un cietušā tiesības lūgt nodot kriminālprocesu citai ES dalībvalstij, kā to paredz regulas Nr. 2024/3011 5. panta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 pants</w:t>
      </w:r>
      <w:r w:rsidR="00000000" w:rsidRPr="00000000" w:rsidDel="00000000">
        <w:rPr>
          <w:rtl w:val="0"/>
        </w:rPr>
        <w:t xml:space="preserve"> paredz papildināt KPL 66. panta pirmo daļu ar 17. punktu, kas paredz aizdomās turētā tiesības iesniegt lūgumu par kriminālprocesa nodošanu saskaņā ar regulu Nr. 2024/3011. Savukārt </w:t>
      </w:r>
      <w:r w:rsidR="00000000" w:rsidRPr="00000000" w:rsidDel="00000000">
        <w:rPr>
          <w:b w:val="1"/>
          <w:rtl w:val="0"/>
        </w:rPr>
        <w:t xml:space="preserve">Likumprojekta 2. pants</w:t>
      </w:r>
      <w:r w:rsidR="00000000" w:rsidRPr="00000000" w:rsidDel="00000000">
        <w:rPr>
          <w:rtl w:val="0"/>
        </w:rPr>
        <w:t xml:space="preserve"> paredz papildināt 97.</w:t>
      </w:r>
      <w:r w:rsidR="00000000" w:rsidRPr="00000000" w:rsidDel="00000000">
        <w:rPr>
          <w:vertAlign w:val="superscript"/>
          <w:rtl w:val="0"/>
        </w:rPr>
        <w:t xml:space="preserve">1</w:t>
      </w:r>
      <w:r w:rsidR="00000000" w:rsidRPr="00000000" w:rsidDel="00000000">
        <w:rPr>
          <w:rtl w:val="0"/>
        </w:rPr>
        <w:t xml:space="preserve"> panta pirmo daļu ar 12. punktu, nosakot cietušā tiesības iesniegt lūgumu par kriminālprocesa nodošanu saskaņā ar regulu Nr. 2024/3011.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regulējumā nav noteiktas regulas Nr. 2024/3011 izpratnē kompetentās centrālās iestādes, kriminālprocesa nodošanas pieprasījuma saņēmēja iestāde un pieprasījuma iesniedzēja iestāde, kā arī nav skaidrs šo iestāžu kompetenču sadalījums.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 pants</w:t>
      </w:r>
      <w:r w:rsidR="00000000" w:rsidRPr="00000000" w:rsidDel="00000000">
        <w:rPr>
          <w:rtl w:val="0"/>
        </w:rPr>
        <w:t xml:space="preserve"> paredz papildināt 724. pantu ar trešo daļu, nosakot, ka saskaņā ar regulas Nr. 2024/3011 20. pantu šā panta pirmajā un otrajā daļā minētās iestādes ir centrālās iestādes, kuras pārsūta un saņem kriminālprocesa nodošanas pieprasījumus. Proti, pirmstiesas kriminālprocesā lūgumus par kriminālprocesa pārņemšanu pārsūta un saņem Ģenerālprokuratūra, savukārt krimināllietas izskatīšanas laikā -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regulējumu tiek noteiktas centrālās iestādes Regulas Nr. 2024/3011 20. panta izpratnē, kas noteic, ka:  "Katra dalībvalsts var izraudzīties vienu vai vairākas centrālās iestādes, kas ir atbildīgas par kriminālprocesa nodošanas pieprasījumu administratīvu pārsūtīšanu un saņemšanu, kā arī par citu oficiālo saraksti, kura saistīta ar šādiem pieprasījumiem." Tādējādi esošais KPL 724. pantā iestāžu sadalījums tiek saglabāts attiecībā uz lūgumu par kriminālprocesa pārņemšanu pārsūtīšanu un saņemšanu, taču mainās to funkcijas. Tieslietu ministrija vai Ģenerālprokuratūra pārbauda saņemto kriminālprocesa nodošanas pieprasījumu un to, vai pievienoti visi nepieciešamie dokumenti. Ja visas prasības ir ievērotas, Tieslietu ministrija vai Ģenerālprokuratūra pēc pārbaudes veikšanas saņemto pieprasījumu nosūta pieprasījuma saņēmēja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kriminālprocesa nodošanas pieprasījuma izpildes pieprasījuma saņēmēja iestādes lēmums nosūtāms ES dalībvalsts centrālajai iestādei vai pieprasījuma nodošanas iestādei. Lai nodrošinātu ātrāku un efektīvāku lēmuma nosūtīšanu, pieprasījuma saņēmēja iestāde to ES dalībvalsts centrālajai iestādei vai pieprasījuma nodošanas iestādei var nodot tieši, par to informējot Tieslietu ministriju vai Ģenerālprokuratūru. Ja pieprasījuma saņēmēja iestāde lēmumu nenodot tieši, tā tos nodod Tieslietu ministrijai vai Ģenerālprokuratūrai, kura tos tālāk nodod attiecīgās ES dalībvalsts centrālajai iestādei vai pieprasījuma nodošanas iestādei. Vienlaikus tādus pašus papildinājumus paredz </w:t>
      </w:r>
      <w:r w:rsidR="00000000" w:rsidRPr="00000000" w:rsidDel="00000000">
        <w:rPr>
          <w:b w:val="1"/>
          <w:rtl w:val="0"/>
        </w:rPr>
        <w:t xml:space="preserve">Likumprojekta 8. pants</w:t>
      </w:r>
      <w:r w:rsidR="00000000" w:rsidRPr="00000000" w:rsidDel="00000000">
        <w:rPr>
          <w:rtl w:val="0"/>
        </w:rPr>
        <w:t xml:space="preserve">, taču attiecībā uz KPL 68. nodaļas 742.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5. pants </w:t>
      </w:r>
      <w:r w:rsidR="00000000" w:rsidRPr="00000000" w:rsidDel="00000000">
        <w:rPr>
          <w:rtl w:val="0"/>
        </w:rPr>
        <w:t xml:space="preserve">paredz papildināt likumu ar 724.</w:t>
      </w:r>
      <w:r w:rsidR="00000000" w:rsidRPr="00000000" w:rsidDel="00000000">
        <w:rPr>
          <w:vertAlign w:val="superscript"/>
          <w:rtl w:val="0"/>
        </w:rPr>
        <w:t xml:space="preserve">1</w:t>
      </w:r>
      <w:r w:rsidR="00000000" w:rsidRPr="00000000" w:rsidDel="00000000">
        <w:rPr>
          <w:rtl w:val="0"/>
        </w:rPr>
        <w:t xml:space="preserve"> pantu, kas noteic ES dalībvalsts kriminālprocesa nodošanas pieprasījuma saņēmēja iestādi. Proti, ES dalībvalsts kriminālprocesa nodošanas pieprasījuma saņēmēja iestāde regulas Nr. 2024/3011 2. panta 4. punkta izpratnē ir jebkura izmeklēšanas iestāde, prokuratūras struktūrvienība vai tiesa, kuras kompetencē ir pieņemt lēmumu par kriminālprocesa nodošanas Latvijai piekrišanu vai atteikšanu.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2024/3011 2. panta 4. punktam "pieprasījuma saņēmēja iestāde" ir tiesnesis, tiesa, izmeklēšanas tiesnesis vai prokurors, kura kompetencē ir pieņemt lēmumu par kriminālprocesa nodošanas akceptēšanu vai atteikšanu saskaņā ar 11. panta 1. punktu un, ja to atļauj pieprasījuma saņēmējas valsts tiesību sistēma, veikt turpmākus pasākumus saskaņā ar šo regulu vai jebkuru pasākumu, kā paredzēts attiecīgās valsts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norma paredz, ka tiesības pieņemt par kriminālprocesa nodošanas Latvijai piekrišanu vai atteikšanu lēmumu ir jebkurai izmeklēšanas iestādei, prokuratūras struktūrvienībai vai tiesai.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9. pants</w:t>
      </w:r>
      <w:r w:rsidR="00000000" w:rsidRPr="00000000" w:rsidDel="00000000">
        <w:rPr>
          <w:rtl w:val="0"/>
        </w:rPr>
        <w:t xml:space="preserve"> paredz papildināt ar 742.</w:t>
      </w:r>
      <w:r w:rsidR="00000000" w:rsidRPr="00000000" w:rsidDel="00000000">
        <w:rPr>
          <w:vertAlign w:val="superscript"/>
          <w:rtl w:val="0"/>
        </w:rPr>
        <w:t xml:space="preserve">1</w:t>
      </w:r>
      <w:r w:rsidR="00000000" w:rsidRPr="00000000" w:rsidDel="00000000">
        <w:rPr>
          <w:rtl w:val="0"/>
        </w:rPr>
        <w:t xml:space="preserve"> pantu, nosakot ES dalībvalsts kriminālprocesa nodošanas pieprasījuma iesniedzēja iestādi. Norma definē, kas ir "pieprasījuma iesniedzēja iestāde", nosakot iestāžu loku, kuru kompetencē ietilpst pieņemt lēmumu izdot kriminālprocesa nodošanas pieprasījumu citai ES dalībvalstij regulas Nr. 2024/3011 2. panta 3. punkta izpratnē. Proti, panta 1. punkts noteic, ka izmeklēšanā — izmeklētājs ar uzraugošā prokurora piekrišanu; 2. punkts paredz, ka kriminālvajāšanā — prokurors; 3. punkts noteic, ka iztiesāšanas laikā — tiesas sastāvs.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2024/3011 2. panta 3. punkta a) apakšpunktam "pieprasījuma iesniedzēja iestāde" ir pieprasījuma iesniedzējas valsts tiesnesis, tiesa, izmeklēšanas tiesnesis vai prokurors, kuru kompetencē ir attiecīgā lieta. Savukārt atbilstoši šā panta 3. punkta b) apakšpunktam "pieprasījuma iesniedzēja iestāde" var būt arī jebkura cita kompetentā iestāde, kuru par tādu ir izraudzījusies pieprasījuma iesniedzēja valsts un kura kriminālprocesā darbojas kā izmeklēšanas iestāde, kas ir kompetenta pieprasīt kriminālprocesa nodošanu saskaņā ar valsts tiesību aktiem. Turklāt, pirms kriminālprocesa nodošanas pieprasījums tiek nosūtīts pieprasījuma saņēmējai iestādei, to pēc tam, kad ir pārbaudīta tā atbilstība šāda pieprasījuma izdošanas nosacījumiem, kas norādīti šajā regulā, apstiprina pieprasījuma iesniedzējas valsts tiesnesis, tiesa, izmeklēšanas tiesnesis vai prokurors. Ja kriminālprocesa nodošanas pieprasījumu ir apstiprinājis pieprasījuma iesniedzējas valsts tiesnesis, tiesa, izmeklēšanas tiesnesis vai prokurors, minētos subjektus pieprasījuma nosūtīšanas vajadzībām arī var uzskatīt par pieprasījuma iesniedzēju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tiesiskās noteiktības labad 742.</w:t>
      </w:r>
      <w:r w:rsidR="00000000" w:rsidRPr="00000000" w:rsidDel="00000000">
        <w:rPr>
          <w:vertAlign w:val="superscript"/>
          <w:rtl w:val="0"/>
        </w:rPr>
        <w:t xml:space="preserve">1</w:t>
      </w:r>
      <w:r w:rsidR="00000000" w:rsidRPr="00000000" w:rsidDel="00000000">
        <w:rPr>
          <w:rtl w:val="0"/>
        </w:rPr>
        <w:t xml:space="preserve"> pantā tiek definēta "pieprasījuma iesniedzēja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2024/3011 8. panta 1. punkts nosaka, ka kriminālprocesa nodošanas pieprasījums jāsagatavo, izmantojot I pielikumā ietverto veidlapu, kuru pieprasījuma iesniedzēja iestāde paraksta, apliecinot tajā norādītās informācijas precizitāti un pareizību. Tādēļ turpmāk Latvijas pieprasījuma iesniedzēja iestādēm, iesniedzot šādu pieprasījumu ES dalībvalstij, kurai regula Nr. 2024/3011 ir saistoša, būs jāaizpilda minētā veidlapa.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nav paredzēts efektīvs tiesiskās aizsardzības līdzeklis gadījumā, kad pieprasījuma saņēmēja iestāde piekrīt citas Eiropas Savienības dalībvalsts ierosinātai kriminālprocesa nodošanai Latvijai.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6. pants </w:t>
      </w:r>
      <w:r w:rsidR="00000000" w:rsidRPr="00000000" w:rsidDel="00000000">
        <w:rPr>
          <w:rtl w:val="0"/>
        </w:rPr>
        <w:t xml:space="preserve">paredz papildināt likumu ar 728.</w:t>
      </w:r>
      <w:r w:rsidR="00000000" w:rsidRPr="00000000" w:rsidDel="00000000">
        <w:rPr>
          <w:vertAlign w:val="superscript"/>
          <w:rtl w:val="0"/>
        </w:rPr>
        <w:t xml:space="preserve">1</w:t>
      </w:r>
      <w:r w:rsidR="00000000" w:rsidRPr="00000000" w:rsidDel="00000000">
        <w:rPr>
          <w:rtl w:val="0"/>
        </w:rPr>
        <w:t xml:space="preserve"> pantu, kas noteic kārtību kādā izskata sūdzības par pieprasījuma saņēmējas iestādes lēmumu par piekrišanu kriminālprocesa nodošanai. Atbilstoši regulas Nr. 2024/3011 17. panta 1. punkta prasībām, KPL ir jāparedz aizdomās turētajiem, apsūdzētajiem un cietušajiem tiesības uz efektīviem tiesiskās aizsardzības līdzekļiem gadījumos, kad pieprasījuma saņēmējas iestāde, izskatījusi ES dalībvalsts lūgumu un nepieciešamos dokumentus, pieņem lēmumu par piekrišanu kriminālprocesa nodošanai. Ņemot vērā, ka KPL nav paredzētas procesā iesaistīto personu tiesības pārsūdzēt lēmumus par kriminālprocesa virzību un piekritību, ieviešot regulas Nr. 2024/3011 17. panta prasības, tiek paredzēta pieprasījuma saņēmējas iestādes lēmuma par piekrišanu kriminālprocesa nodošanai pārsūdzēšanas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nav noteikts pieprasījuma iesniedzējas iestādes pienākums informēt cietušo, aizdomās turēto un apsūdzēto par nodomu izdot kriminālprocesa nodošanas pieprasījumu citai ES dalībvalstij un par tiesībām sniegt viedokli.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10. pants</w:t>
      </w:r>
      <w:r w:rsidR="00000000" w:rsidRPr="00000000" w:rsidDel="00000000">
        <w:rPr>
          <w:rtl w:val="0"/>
        </w:rPr>
        <w:t xml:space="preserve"> paredz papildināt KPL ar 743.</w:t>
      </w:r>
      <w:r w:rsidR="00000000" w:rsidRPr="00000000" w:rsidDel="00000000">
        <w:rPr>
          <w:vertAlign w:val="superscript"/>
          <w:rtl w:val="0"/>
        </w:rPr>
        <w:t xml:space="preserve">1 </w:t>
      </w:r>
      <w:r w:rsidR="00000000" w:rsidRPr="00000000" w:rsidDel="00000000">
        <w:rPr>
          <w:rtl w:val="0"/>
        </w:rPr>
        <w:t xml:space="preserve">pantu, nosakot pieprasījuma iesniedzējas iestādes pienākumu informēt personu par nodomu izdot kriminālprocesa nodošanas pieprasījumu citai Eiropas Savienības dalībvalstij, kā arī nosakot informēšanas kārtību. Regulas Nr. 2024/3011 6. panta 3. punktā un 7. panta 2. punktā ir noteiktas prasības attiecībā uz aizdomās turētā, apsūdzētā un cietušā informēšanu saskaņā ar piemērojamiem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KPL 743.</w:t>
      </w:r>
      <w:r w:rsidR="00000000" w:rsidRPr="00000000" w:rsidDel="00000000">
        <w:rPr>
          <w:vertAlign w:val="superscript"/>
          <w:rtl w:val="0"/>
        </w:rPr>
        <w:t xml:space="preserve">1</w:t>
      </w:r>
      <w:r w:rsidR="00000000" w:rsidRPr="00000000" w:rsidDel="00000000">
        <w:rPr>
          <w:rtl w:val="0"/>
        </w:rPr>
        <w:t xml:space="preserve"> panta pirmajā daļā paredzēts noteikt, ka pieprasījuma iesniedzēja iestāde informē cietušo, aizdomās turēto un apsūdzēto par nodomu izdot kriminālprocesa nodošanas pieprasījumu, kā arī par tiesībām sniegt viedokli par to saskaņā ar regulu Nr. 2024/3011. Informējot aizdomās turēto vai apsūdzēto, pieprasījuma iesniedzēja iestāde izsniedz regulas Nr. 2024/3011 II vai III pielikumā ietverto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743.</w:t>
      </w:r>
      <w:r w:rsidR="00000000" w:rsidRPr="00000000" w:rsidDel="00000000">
        <w:rPr>
          <w:vertAlign w:val="superscript"/>
          <w:rtl w:val="0"/>
        </w:rPr>
        <w:t xml:space="preserve">1</w:t>
      </w:r>
      <w:r w:rsidR="00000000" w:rsidRPr="00000000" w:rsidDel="00000000">
        <w:rPr>
          <w:rtl w:val="0"/>
        </w:rPr>
        <w:t xml:space="preserve"> panta otrajā daļā paredzēts noteikt, ka cietušā, aizdomās turētā vai apsūdzētā lūgumu izdot kriminālprocesa nodošanas pieprasījumu pieprasījuma iesniedzēja iestāde izskata KPL 23. nodaļā noteiktajā kārtībā. Regulas Nr. 2024/3011 5. panta 3. punkts noteic, ka aizdomās turētais, apsūdzētais vai cietušais saskaņā ar valsts tiesību aktos paredzēto procedūru var ierosināt pieprasījuma iesniedzējas valsts vai pieprasījuma saņēmējas valsts kompetentajām iestādēm nodot kriminālprocesu atbilstoši regulai Nr. 2024/3011.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KPL 23. nodaļā "Pieteikumi, iesniegumi un lūgumi" jau ir noteikta vispārējā lūgumu iesniegšanas un izskatīšanas kārtība, tiesiskās noteiktības nodrošināšanai KPL tiek skaidri noteikts, ka arī lūgumi izdot kriminālprocesa nodošanas pieprasījumu izskatāmi minētajā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32024R3011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27. novembra regula (ES) 2024/3011 par tiesvedības nodošanu krimināllietās.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2024/3011 nosaka vienotus noteikumus kriminālprocesa nodošanai starp ES dalībvalstīm, lai izmeklēšanu vai kriminālvajāšanu veiktu dalībvalsts, kura konkrētajā lietā ir vispiemērotākā. Tās mērķis ir uzlabot pārrobežu kriminālprocesu efektivitāti, novērst nevajadzīgus paralēlus kriminālprocesus un mazināt </w:t>
      </w:r>
      <w:r w:rsidR="00000000" w:rsidRPr="00000000" w:rsidDel="00000000">
        <w:rPr>
          <w:i w:val="1"/>
          <w:rtl w:val="0"/>
        </w:rPr>
        <w:t xml:space="preserve">ne bis in idem</w:t>
      </w:r>
      <w:r w:rsidR="00000000" w:rsidRPr="00000000" w:rsidDel="00000000">
        <w:rPr>
          <w:rtl w:val="0"/>
        </w:rPr>
        <w:t xml:space="preserve"> principa pārkāpuma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27. novembra regula (ES) 2024/3011 par tiesvedības nodošanu krimināllietās.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(KPL 66. p. 1.d. 17.pkt.), Likumprojekta 2. pants (KPL 97.</w:t>
            </w:r>
            <w:r w:rsidR="00000000" w:rsidRPr="00000000" w:rsidDel="00000000">
              <w:rPr>
                <w:sz w:val="24"/>
                <w:vertAlign w:val="superscript"/>
                <w:rtl w:val="0"/>
              </w:rPr>
              <w:t xml:space="preserve">1</w:t>
            </w:r>
            <w:r w:rsidR="00000000" w:rsidRPr="00000000" w:rsidDel="00000000">
              <w:rPr>
                <w:sz w:val="24"/>
                <w:rtl w:val="0"/>
              </w:rPr>
              <w:t xml:space="preserve"> p. 1.d. 12.pkt.)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(KPL 723. p. 2.d.), Likumprojekta 7. pants (KPL 741. p. 3.d.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 (KPL 724. p. 3.d.), Likumprojekta 8. pants (KPL 742. p. 3.d.)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(KPL 728.</w:t>
            </w:r>
            <w:r w:rsidR="00000000" w:rsidRPr="00000000" w:rsidDel="00000000">
              <w:rPr>
                <w:sz w:val="24"/>
                <w:vertAlign w:val="superscript"/>
                <w:rtl w:val="0"/>
              </w:rPr>
              <w:t xml:space="preserve">1 </w:t>
            </w:r>
            <w:r w:rsidR="00000000" w:rsidRPr="00000000" w:rsidDel="00000000">
              <w:rPr>
                <w:sz w:val="24"/>
                <w:rtl w:val="0"/>
              </w:rPr>
              <w:t xml:space="preserve">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 panta 3. punkts, 7. panta 2. punkts un 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pants (KPL 743.</w:t>
            </w:r>
            <w:r w:rsidR="00000000" w:rsidRPr="00000000" w:rsidDel="00000000">
              <w:rPr>
                <w:sz w:val="24"/>
                <w:vertAlign w:val="superscript"/>
                <w:rtl w:val="0"/>
              </w:rPr>
              <w:t xml:space="preserve">1 </w:t>
            </w:r>
            <w:r w:rsidR="00000000" w:rsidRPr="00000000" w:rsidDel="00000000">
              <w:rPr>
                <w:sz w:val="24"/>
                <w:rtl w:val="0"/>
              </w:rPr>
              <w:t xml:space="preserve">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(KPL 724.</w:t>
            </w:r>
            <w:r w:rsidR="00000000" w:rsidRPr="00000000" w:rsidDel="00000000">
              <w:rPr>
                <w:sz w:val="24"/>
                <w:vertAlign w:val="superscript"/>
                <w:rtl w:val="0"/>
              </w:rPr>
              <w:t xml:space="preserve">1 </w:t>
            </w:r>
            <w:r w:rsidR="00000000" w:rsidRPr="00000000" w:rsidDel="00000000">
              <w:rPr>
                <w:sz w:val="24"/>
                <w:rtl w:val="0"/>
              </w:rPr>
              <w:t xml:space="preserve">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pants (KPL 742.</w:t>
            </w:r>
            <w:r w:rsidR="00000000" w:rsidRPr="00000000" w:rsidDel="00000000">
              <w:rPr>
                <w:sz w:val="24"/>
                <w:vertAlign w:val="superscript"/>
                <w:rtl w:val="0"/>
              </w:rPr>
              <w:t xml:space="preserve">1 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2024/3011 22. panta 3. punktā paredzētā rīcības brīvība tiek izmantota. Grozījumi KPL nav nepieciešami, jo regulējums atbilst  732.-735. pantā noteiktajai kārtībai.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noteikumiem Nr. 639 "Sabiedrības līdzdalības kārtība attīstības plānošanas procesā" tiks nodrošināta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26-TA-1836</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26-TA-1836</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anotācija_(ex_ante)_26-TA-1836.docx</dc:title>
</cp:coreProperties>
</file>

<file path=docProps/custom.xml><?xml version="1.0" encoding="utf-8"?>
<Properties xmlns="http://schemas.openxmlformats.org/officeDocument/2006/custom-properties" xmlns:vt="http://schemas.openxmlformats.org/officeDocument/2006/docPropsVTypes"/>
</file>