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izstrādāts pamatojoties uz Eiropas Savienības fondu 2021.—2027. gada plānošanas perioda vadības likuma 19. panta 13. punktu, lai nodrošinātu sekmīgu un savlaicīgu Eiropas Savienības fondu līdzekļu apguvi un Eiropas Savienības kohēzijas politikas programmas 2021.–2027. gadam kopējā mērķa un iznākumu rādītāju sasniegšanu Eiropas Savienības fondu 2021. - 2027. gada plānošanas perioda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Eiropas Savienības kohēzijas politikas programmas 2021.-2027. gadam 4.1.1.1. pasākuma "Ārstniecības iestāžu infrastruktūras attīstība" ceturtās kārtas ietvaros neizmantoto finansējumu novirzīt 4.1.1.1. pasākuma "Ārstniecības iestāžu infrastruktūras attīstība" pirmās kārtas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25. novembrī apstiprināja Latvijas izstrādāto Eiropas Savienības kohēzijas politikas programmu 2021.-2027. gadam (turpmāk – Programma), nosakot, ka 4.1.1. specifiskā atbalsta mērķa "Nodrošināt vienlīdzīgu piekļuvi veselības aprūpei un stiprināt veselības sistēmu, tostarp primārās veselības aprūpes noturību" ietvaros veselības aprūpei būtiska nozīme ir veselības sistēmas stiprināšanā, veselības aprūpes pieejamības un kvalitātes uzlabošanā, attīstot visaptverošu un integrētu veselības sistēmu un paredzot ieguldījumus ārstniecības iestāžu attīstībai visos aprūpes līmeņos, atbilstoši pakalpojumu kartējumam, veselības aprūpes pakalpojumu attīstībai pieejamiem cilvēkresursiem un finanšu resursiem, t.sk. nodrošinot ārstniecības iestāžu gatavību potenciālo sabiedrības veselības krīžu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5. novembra noteikumiem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 (turpmāk - MK noteikumi Nr. 704) noteikta kārtība, kādā tiek īstenota Programmas 4.1.1. specifiskā atbalsta mērķa "Nodrošināt vienlīdzīgu piekļuvi veselības aprūpei un stiprināt veselības sistēmu, tostarp primārās veselības aprūpes noturību" (turpmāk – 4.1.1. SAM) 4.1.1.1. pasākuma "Ārstniecības iestāžu infrastruktūras attīstība" (turpmāk – 4.1.1.1. pasākums) ceturtā kārta (turpmāk –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pasākuma ietvaros plānotais un pieejamais kopējais finansējums ir 4 812 877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4 090 945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721 932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 kārtām 4.1.1.1. pasākuma finansējums šobrīd ir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4.1.1.1. pasākuma pirmās kārtas ietvaros plānotais un pieejamais kopējais finansējums ir 114 061 260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96 952 070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17 109 190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4.1.1.1. pasākuma otrās kārtas ietvaros plānotais un pieejamais kopējais finansējums ir 15 089 807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12 826 335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 2 263 472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4.1.1.1. pasākuma trešās kārtas ietvaros plānotais un pieejamais kopējais finansējums ir 7 957 886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6 764 203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1 193 683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4.1.1.1. pasākuma ceturtās kārtas ietvaros plānotais un pieejamais kopējais finansējums ir ir 4 812 877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4 090 945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721 932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4.1.1.1. pasākuma piektās kārtas ietvaros plānotais un pieejamais kopējais finansējums ir 133 543 211 </w:t>
      </w:r>
      <w:r w:rsidR="00000000" w:rsidRPr="00000000" w:rsidDel="00000000">
        <w:rPr>
          <w:i w:val="1"/>
          <w:rtl w:val="0"/>
        </w:rPr>
        <w:t xml:space="preserve">euro</w:t>
      </w:r>
      <w:r w:rsidR="00000000" w:rsidRPr="00000000" w:rsidDel="00000000">
        <w:rPr>
          <w:rtl w:val="0"/>
        </w:rPr>
        <w:t xml:space="preserve"> (no tā elastības finansējums – 46 682 293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113 511 729 </w:t>
      </w:r>
      <w:r w:rsidR="00000000" w:rsidRPr="00000000" w:rsidDel="00000000">
        <w:rPr>
          <w:i w:val="1"/>
          <w:rtl w:val="0"/>
        </w:rPr>
        <w:t xml:space="preserve">euro</w:t>
      </w:r>
      <w:r w:rsidR="00000000" w:rsidRPr="00000000" w:rsidDel="00000000">
        <w:rPr>
          <w:rtl w:val="0"/>
        </w:rPr>
        <w:t xml:space="preserve"> (no tā elastības finansējums – 39 679 949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20 031 482 </w:t>
      </w:r>
      <w:r w:rsidR="00000000" w:rsidRPr="00000000" w:rsidDel="00000000">
        <w:rPr>
          <w:i w:val="1"/>
          <w:rtl w:val="0"/>
        </w:rPr>
        <w:t xml:space="preserve">euro</w:t>
      </w:r>
      <w:r w:rsidR="00000000" w:rsidRPr="00000000" w:rsidDel="00000000">
        <w:rPr>
          <w:rtl w:val="0"/>
        </w:rPr>
        <w:t xml:space="preserve"> (no tā elastības finansējums – 7 002 344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ietvaros izveidojies neizmantotais finansējums,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47 potenciālajiem MK noteikumu Nr. 704 pielikumā minētajiem atbalsta saņēmējiem projekta iesniegumus iesniedza 28 ārstniecības iestādes. Izvērtējot iemeslus, kāpēc daļa potenciālo projektu iesniedzēju neiesniedza projektus, pieļaujams, ka potenciālie finansējuma saņēmēji atteicās lielā privātā līdzfinansējuma nodrošinājuma dēļ vai, izvērtējot projekta iesnieguma sagatavošanā ieguldāmo laiku un darbu, tika nolemts atlasē nepiedalīties.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Gatavojot projektu iesniegumus, projekta iesniedzējiem bija jānorāda projekta ietvaros nodrošināmais privātais līdzfinansējums, kura apmēru nosaka atbilstoši infrastruktūras izmantošanas valsts apmaksāto pakalpojumu sniegšanai un citu darbību veikšanai proporcijas aprēķināšanas un aprēķina iekļaušanas projekta iesnieguma veidlapā metodikai. Attiecīgi pēc visu iesniegto projektu iesniegumu apstiprināšanas tika konstatēts atlikums MK noteikumos Nr. 704 plānotajā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noteikumos Nr. 704 noteiktais 4.1.1.1. pasākuma 4. kārtai plānotais un pieejamais kopējais attiecināmais finansējums tiks izmantots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704 grozījumiem pasākuma ietvaros plānotais un pieejamais kopējais finansējums ir 4 300 047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3 346 264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953 783 </w:t>
      </w:r>
      <w:r w:rsidR="00000000" w:rsidRPr="00000000" w:rsidDel="00000000">
        <w:rPr>
          <w:i w:val="1"/>
          <w:rtl w:val="0"/>
        </w:rPr>
        <w:t xml:space="preserve">euro </w:t>
      </w:r>
      <w:r w:rsidR="00000000" w:rsidRPr="00000000" w:rsidDel="00000000">
        <w:rPr>
          <w:rtl w:val="0"/>
        </w:rPr>
        <w:t xml:space="preserve">(tai skaitā valsts budžeta finansējums 116 326,43 </w:t>
      </w:r>
      <w:r w:rsidR="00000000" w:rsidRPr="00000000" w:rsidDel="00000000">
        <w:rPr>
          <w:i w:val="1"/>
          <w:rtl w:val="0"/>
        </w:rPr>
        <w:t xml:space="preserve">euro </w:t>
      </w:r>
      <w:r w:rsidR="00000000" w:rsidRPr="00000000" w:rsidDel="00000000">
        <w:rPr>
          <w:rtl w:val="0"/>
        </w:rPr>
        <w:t xml:space="preserve">un privātais finansējums 837 456,84</w:t>
      </w:r>
      <w:r w:rsidR="00000000" w:rsidRPr="00000000" w:rsidDel="00000000">
        <w:rPr>
          <w:i w:val="1"/>
          <w:rtl w:val="0"/>
        </w:rPr>
        <w:t xml:space="preserve"> 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Situācijas apraksts VSIA „Traumatoloģijas un ortopēdijas slimnīca”</w:t>
      </w:r>
      <w:r w:rsidR="00000000" w:rsidRPr="00000000" w:rsidDel="00000000">
        <w:rPr>
          <w:rtl w:val="0"/>
        </w:rPr>
        <w:t xml:space="preserve"> (turpmāk - 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plānā 2022. – 2024. gadam (turpmāk – Plāns) ietvertais 6.4. pasākums paredz Uzlabot sarkomas tipa audzēju diagnostikas iespējas, tā rezultātā plānots nodrošināt Kvalitātes prasībām atbilstošu aprīkojumu mugurkaulāja un iegurņa onkoloģisko pacientu ķirurģiskai ārstēšanai. TOS ir vienīgā valsts medicīnas iestāde Rīgā, kura sniedz augsti kvalificētu deģeneratīvo muguras saslimšanu, mugurkaula traumu un traumu seku ķirurģisku ārstēšanu, sniedz ķirurģisku palīdzību onkoloģiskiem pacientiem ar sertificētiem mugurkaula ķirurģijas speciālistiem, kura var nodrošināt mugurkaula ķirurgu konsīlijus trīs speciālistu sastāvā un nepārtrauktu neatliekamu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Plānā noteikto, 4.1.1.1. pasākuma pirmās kārtas ietvaros TOS infrastruktūras attīstībai tika piešķirts finansējums 3 152 533 </w:t>
      </w:r>
      <w:r w:rsidR="00000000" w:rsidRPr="00000000" w:rsidDel="00000000">
        <w:rPr>
          <w:i w:val="1"/>
          <w:rtl w:val="0"/>
        </w:rPr>
        <w:t xml:space="preserve">euro</w:t>
      </w:r>
      <w:r w:rsidR="00000000" w:rsidRPr="00000000" w:rsidDel="00000000">
        <w:rPr>
          <w:rtl w:val="0"/>
        </w:rPr>
        <w:t xml:space="preserve"> apmērā mugurkaula ķirurģijas pakalpojumu attīstībai. Ar šo finansējumu tiks veikta operāciju zāles paplašināšana, izveidojot to atbilstošu mūsdienu prasībām (t.i., pielietojot modernus materiālus, izveidojot jaunas elektroinstalācijas un ventilācijas sistēmas), kā arī sekojošu iekārtu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Intraoperatīvās neironavigācijas iekārta;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dimensiju radioloģiska vizualizācijas iekārta;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Operāciju galds un operāciju lampa, kas paredzēti mugurkaula operācijām;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Neiromonitorings.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plānošanas laikā tika konstatēts, ka pilnvērtīgākai un efektīvākai Plānā noteiktā nodrošināšanai nepieciešams veikt Mugurkaula un locītavu ķirurģijas centra reorganizāciju (sadalot to divās patstāvīgās struktūrvienībās: "Lielo locītavu ķirurģijas centrs" un "Mugurkaula ķirurģijas centrs"), kas ietver ne tikai iepriekš minētās un projekta iesniegumā norādītās darbības, bet arī pacientu palātu izveidi (nodrošinot piemērotus apstākļus pirms un pēcoperācijas periodā), medicīniskās aprūpes un personāla telpu atjaunošanu un modernizāciju. Bez šo darbību veikšanas līdzšinējās investīcijas nesasniegs plānoto rezultātu. Darbību īstenošanai nepieciešams papildus finansējums 560 000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Situācijas apraksts Valsts tiesu medicīnas ekspertīzes centrs (turpmāk - VTMEC)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pirmās kārtas ietvaros VTMEC tika piešķirts finansējumu 5 500 000 </w:t>
      </w:r>
      <w:r w:rsidR="00000000" w:rsidRPr="00000000" w:rsidDel="00000000">
        <w:rPr>
          <w:i w:val="1"/>
          <w:rtl w:val="0"/>
        </w:rPr>
        <w:t xml:space="preserve">euro</w:t>
      </w:r>
      <w:r w:rsidR="00000000" w:rsidRPr="00000000" w:rsidDel="00000000">
        <w:rPr>
          <w:rtl w:val="0"/>
        </w:rPr>
        <w:t xml:space="preserve">, tai skaitā ERAF finansējums 4 675 000 </w:t>
      </w:r>
      <w:r w:rsidR="00000000" w:rsidRPr="00000000" w:rsidDel="00000000">
        <w:rPr>
          <w:i w:val="1"/>
          <w:rtl w:val="0"/>
        </w:rPr>
        <w:t xml:space="preserve">euro</w:t>
      </w:r>
      <w:r w:rsidR="00000000" w:rsidRPr="00000000" w:rsidDel="00000000">
        <w:rPr>
          <w:rtl w:val="0"/>
        </w:rPr>
        <w:t xml:space="preserve"> un valsts budžeta finansējums 825 000 </w:t>
      </w:r>
      <w:r w:rsidR="00000000" w:rsidRPr="00000000" w:rsidDel="00000000">
        <w:rPr>
          <w:i w:val="1"/>
          <w:rtl w:val="0"/>
        </w:rPr>
        <w:t xml:space="preserve">euro</w:t>
      </w:r>
      <w:r w:rsidR="00000000" w:rsidRPr="00000000" w:rsidDel="00000000">
        <w:rPr>
          <w:rtl w:val="0"/>
        </w:rPr>
        <w:t xml:space="preserve">, lai attīstītu VTMEC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Apstiprinātā projekta ietvaros plānoti būvniecības darbi Hipokrāta ielas 2 divos korpusos (6. un 17. korpuss), kā arī tehnoloģiju iegāde.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sākotnēji iezīmējās risks - lai sasniegtu projekta mērķi (nodrošināt vienlīdzīgu piekļuvi tiesu medicīnas ekspertīzes pakalpojumiem, attīstot Valsts tiesu medicīnas ekspertīzes centra infrastruktūru) un nodrošinātu pilnvērtīgu telpu ekspluatāciju un pieejamību gan personālam, gan klientiem, attiecīgi nodrošinātu pilnu funkcionalitāti un rezultātu ilgtspēju, nepieciešams papildus finansējums 316 096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aprūpes nozares prioritātes, mērķus pakalpojumu pieejamībai un iepriekš minētās vajadzības, Veselības ministrija kā nozares ministrija lēma par Eiropas Savienības kohēzijas politikas programmas 2021.–2027. gadam 4.1.1. specifiskā atbalsta mērķa "Nodrošināt vienlīdzīgu piekļuvi veselības aprūpei un stiprināt veselības sistēmu, tostarp primārās veselības aprūpes noturību" 4.1.1.1. pasākuma ceturtās kārtas atlases ietvaros neizmantotā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plānots novirzīt sekojoši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Nr. 4.1.1.1/1/23/I/002 "Ārstniecības infrastruktūras attīstība VSIA "Traumatoloģijas un ortopēdijas slimnīca"" ietvaros TOS mugurkaula ķirurģijas pakalpojumu attīstībai 560 000 </w:t>
      </w:r>
      <w:r w:rsidR="00000000" w:rsidRPr="00000000" w:rsidDel="00000000">
        <w:rPr>
          <w:i w:val="1"/>
          <w:rtl w:val="0"/>
        </w:rPr>
        <w:t xml:space="preserve">euro</w:t>
      </w:r>
      <w:r w:rsidR="00000000" w:rsidRPr="00000000" w:rsidDel="00000000">
        <w:rPr>
          <w:rtl w:val="0"/>
        </w:rPr>
        <w:t xml:space="preserve"> apmērā, tai skaitā ERAF 476 000 </w:t>
      </w:r>
      <w:r w:rsidR="00000000" w:rsidRPr="00000000" w:rsidDel="00000000">
        <w:rPr>
          <w:i w:val="1"/>
          <w:rtl w:val="0"/>
        </w:rPr>
        <w:t xml:space="preserve">euro</w:t>
      </w:r>
      <w:r w:rsidR="00000000" w:rsidRPr="00000000" w:rsidDel="00000000">
        <w:rPr>
          <w:rtl w:val="0"/>
        </w:rPr>
        <w:t xml:space="preserve"> un nacionālais finansējums 84 000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Nr. 4.1.1.1/1/23/I/001 "Valsts tiesu medicīnas ekspertīzes centra infrastruktūras attīstība" VTMEC pilnas funkcionalitātes nodrošināšanai 316 096 </w:t>
      </w:r>
      <w:r w:rsidR="00000000" w:rsidRPr="00000000" w:rsidDel="00000000">
        <w:rPr>
          <w:i w:val="1"/>
          <w:rtl w:val="0"/>
        </w:rPr>
        <w:t xml:space="preserve">euro</w:t>
      </w:r>
      <w:r w:rsidR="00000000" w:rsidRPr="00000000" w:rsidDel="00000000">
        <w:rPr>
          <w:rtl w:val="0"/>
        </w:rPr>
        <w:t xml:space="preserve"> apmērā, tai skaitā ERAF 268 681,60 </w:t>
      </w:r>
      <w:r w:rsidR="00000000" w:rsidRPr="00000000" w:rsidDel="00000000">
        <w:rPr>
          <w:i w:val="1"/>
          <w:rtl w:val="0"/>
        </w:rPr>
        <w:t xml:space="preserve">euro</w:t>
      </w:r>
      <w:r w:rsidR="00000000" w:rsidRPr="00000000" w:rsidDel="00000000">
        <w:rPr>
          <w:rtl w:val="0"/>
        </w:rPr>
        <w:t xml:space="preserve"> un nacionālais finansējums 47 414,40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veiktie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11. punktā precizēts 4.1.1.1. pasākuma ceturtās kārtas ietvaros plānotais un pieejamais kopējais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tiek precizēti rādītāji noteikumu projekta 8. un 9.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punktā - </w:t>
      </w:r>
      <w:r w:rsidR="00000000" w:rsidRPr="00000000" w:rsidDel="00000000">
        <w:rPr>
          <w:i w:val="1"/>
          <w:rtl w:val="0"/>
        </w:rPr>
        <w:t xml:space="preserve">Pasākuma rezultāta rādītājs ir to personu skaits gadā, kuras izmanto jaunu vai modernizētu veselības aprūpes iestāžu pakalpojumus, nodrošinot, ka līdz 2029. gada 31. decembrim jaunu vai modernizētu veselības aprūpes iestāžu pakalpojumus izmanto 473 681 (iepriekš - 77 991) lietotājs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punktā - </w:t>
      </w:r>
      <w:r w:rsidR="00000000" w:rsidRPr="00000000" w:rsidDel="00000000">
        <w:rPr>
          <w:i w:val="1"/>
          <w:rtl w:val="0"/>
        </w:rPr>
        <w:t xml:space="preserve">Specifiskā atbalsta mērķa iznākuma rādītājs ir jaunu vai modernizētu veselības aprūpes iestāžu kapacitāte, tai skaitā pasākuma ietvaros nodrošinot, ka līdz 2029. gada 31. decembrim izveidotās vai uzlabotās veselības aprūpes iestādes vismaz vienu reizi gada laikā apmeklēs 521 049 (iepriekš - 85 790)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Strādājot pie Programmas, bija skaidrs plāns, ka viena no 4.1.1.1. pasākuma kārtām būs plānota tieši sekundārās ambulatorās veselības aprūpes pakalpojumu sniedzējiem, lai stiprinātu to infrastruktūru. Diemžēl tobrīd vēl nebija skaidri kritēriji, pēc kuriem tiks atlasīti potenciālie finansējuma saņēmēji un, līdz ar to arī iespējas aprēķināt precīzu 4.1.1.1. pasākuma rezultāta rādītāja vērtību, kā arī attiecināt precīzu specifiskā atbalsta mērķa iznākuma rādītāja proporciju. Noslēdzoties 4.1.1.1.pasākuma ceturtajai kārtai ir redzams, ka finansējuma saņēmēji vairākkārt pārsniegs sākotnēji noteiktās vērtības un, līdz ar to abu rādītāju vērtības tiek palielinātas, lai tās atbilstu finansējuma saņēmēju projektu iesniegumos norādītajam mērķim, kā arī tiktu sasniegtas Programmā noteiktās abu rādītāju vērtību kopsummas.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23. punktā dzēsta prasība ar parakstu apliecināt projekta iesniedzēja interešu konflikta neesību, ņemot vērā, ka Eiropas Parlamenta un Padomes 2024. gada 23. septembra Regulas (ES, Euratom) 2024/2509 par finanšu noteikumiem, ko piemēro Savienības vispārējam budžetam (pārstrādātā redakcija), 61. 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41.8. apakšpunktā veikts precizējums, norādot, ka finansējuma saņēmējs iepirkumus iespēju robežās veic sociāli atbildīgā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Programmai 4.1.1.1. pasākuma ceturtās kārtas finansējuma sadalījums pa intervences kodiem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128 “Veselības aprūpes infrastruktūra” – ERAF finansējums 535 402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129 “Veselības aprūpes iekārtas” - ERAF finansējums 669 253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44 “Publiskās infrastruktūras atjaunošana energoefektivitātes uzlabošanai vai energoefektivitātes pasākumi, demonstrējuma projekti un atbalsta pasākumi” - ERAF finansējums 2 141 609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3 346 264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3 346 264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10 “Eiropas pusgadā apzināto problēmu risināšana” - ERAF finansējums 3 346 264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3 346 264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pārdalīts finansējums, kurš nav piesaistīts kādam projektam, noteikumu projektā iekļautie grozījumi neietekmēs jau īstenošanā esošos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157 426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857 333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460 830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431 641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157 426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857 333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460 830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431 641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1 101 698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592 180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554 671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1 101 698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592 180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554 671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-44 871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-244 365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-123 030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-44 871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-244 365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-123 030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-44 871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-244 365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-123 030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Šobrīd 4.1.1. SAM 4.1.1.1. pasākuma ceturtās kārtas</w:t>
            </w:r>
            <w:r w:rsidR="00000000" w:rsidRPr="00000000" w:rsidDel="00000000">
              <w:rPr>
                <w:sz w:val="24"/>
                <w:rtl w:val="0"/>
              </w:rPr>
              <w:t xml:space="preserve"> kopējais plānotais un pieejamais </w:t>
            </w:r>
            <w:r w:rsidR="00000000" w:rsidRPr="00000000" w:rsidDel="00000000">
              <w:rPr>
                <w:sz w:val="24"/>
                <w:b w:val="1"/>
                <w:rtl w:val="0"/>
              </w:rPr>
              <w:t xml:space="preserve">finansējums ir 4 812 877 </w:t>
            </w:r>
            <w:r w:rsidR="00000000" w:rsidRPr="00000000" w:rsidDel="00000000">
              <w:rPr>
                <w:sz w:val="24"/>
                <w:b w:val="1"/>
                <w:i w:val="1"/>
                <w:rtl w:val="0"/>
              </w:rPr>
              <w:t xml:space="preserve">euro</w:t>
            </w:r>
            <w:r w:rsidR="00000000" w:rsidRPr="00000000" w:rsidDel="00000000">
              <w:rPr>
                <w:sz w:val="24"/>
                <w:rtl w:val="0"/>
              </w:rPr>
              <w:t xml:space="preserve"> (tai skaitā ERAF – 4 090 945 </w:t>
            </w:r>
            <w:r w:rsidR="00000000" w:rsidRPr="00000000" w:rsidDel="00000000">
              <w:rPr>
                <w:sz w:val="24"/>
                <w:i w:val="1"/>
                <w:rtl w:val="0"/>
              </w:rPr>
              <w:t xml:space="preserve">euro</w:t>
            </w:r>
            <w:r w:rsidR="00000000" w:rsidRPr="00000000" w:rsidDel="00000000">
              <w:rPr>
                <w:sz w:val="24"/>
                <w:rtl w:val="0"/>
              </w:rPr>
              <w:t xml:space="preserve"> un nacionālais finansējums – 721 932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finansējuma apguve 2025. gadam ir šāda - 17 411,76 </w:t>
            </w:r>
            <w:r w:rsidR="00000000" w:rsidRPr="00000000" w:rsidDel="00000000">
              <w:rPr>
                <w:sz w:val="24"/>
                <w:i w:val="1"/>
                <w:rtl w:val="0"/>
              </w:rPr>
              <w:t xml:space="preserve">euro</w:t>
            </w:r>
            <w:r w:rsidR="00000000" w:rsidRPr="00000000" w:rsidDel="00000000">
              <w:rPr>
                <w:sz w:val="24"/>
                <w:rtl w:val="0"/>
              </w:rPr>
              <w:t xml:space="preserve"> (tai skaitā ERAF – 14 800,00 </w:t>
            </w:r>
            <w:r w:rsidR="00000000" w:rsidRPr="00000000" w:rsidDel="00000000">
              <w:rPr>
                <w:sz w:val="24"/>
                <w:i w:val="1"/>
                <w:rtl w:val="0"/>
              </w:rPr>
              <w:t xml:space="preserve">euro </w:t>
            </w:r>
            <w:r w:rsidR="00000000" w:rsidRPr="00000000" w:rsidDel="00000000">
              <w:rPr>
                <w:sz w:val="24"/>
                <w:rtl w:val="0"/>
              </w:rPr>
              <w:t xml:space="preserve">un nacionālais finansējums – 2 611,76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Pēc grozījumu projekta stāšanās spēkā 4.1.1. SAM 4.1.1.1. pasākuma ceturtās kārtas</w:t>
            </w:r>
            <w:r w:rsidR="00000000" w:rsidRPr="00000000" w:rsidDel="00000000">
              <w:rPr>
                <w:sz w:val="24"/>
                <w:rtl w:val="0"/>
              </w:rPr>
              <w:t xml:space="preserve"> kopējais plānotais un pieejamais </w:t>
            </w:r>
            <w:r w:rsidR="00000000" w:rsidRPr="00000000" w:rsidDel="00000000">
              <w:rPr>
                <w:sz w:val="24"/>
                <w:b w:val="1"/>
                <w:rtl w:val="0"/>
              </w:rPr>
              <w:t xml:space="preserve">finansējums būs 4 300 047 </w:t>
            </w:r>
            <w:r w:rsidR="00000000" w:rsidRPr="00000000" w:rsidDel="00000000">
              <w:rPr>
                <w:sz w:val="24"/>
                <w:b w:val="1"/>
                <w:i w:val="1"/>
                <w:rtl w:val="0"/>
              </w:rPr>
              <w:t xml:space="preserve">euro</w:t>
            </w:r>
            <w:r w:rsidR="00000000" w:rsidRPr="00000000" w:rsidDel="00000000">
              <w:rPr>
                <w:sz w:val="24"/>
                <w:rtl w:val="0"/>
              </w:rPr>
              <w:t xml:space="preserve"> (tai skaitā ERAF – 3 346 264 </w:t>
            </w:r>
            <w:r w:rsidR="00000000" w:rsidRPr="00000000" w:rsidDel="00000000">
              <w:rPr>
                <w:sz w:val="24"/>
                <w:i w:val="1"/>
                <w:rtl w:val="0"/>
              </w:rPr>
              <w:t xml:space="preserve">euro</w:t>
            </w:r>
            <w:r w:rsidR="00000000" w:rsidRPr="00000000" w:rsidDel="00000000">
              <w:rPr>
                <w:sz w:val="24"/>
                <w:rtl w:val="0"/>
              </w:rPr>
              <w:t xml:space="preserve"> un nacionālais finansējums – 953 783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Šobrīd tiek prognozēts, ka</w:t>
            </w:r>
            <w:r w:rsidR="00000000" w:rsidRPr="00000000" w:rsidDel="00000000">
              <w:rPr>
                <w:sz w:val="24"/>
                <w:rtl w:val="0"/>
              </w:rPr>
              <w:t xml:space="preserve"> minētais </w:t>
            </w:r>
            <w:r w:rsidR="00000000" w:rsidRPr="00000000" w:rsidDel="00000000">
              <w:rPr>
                <w:sz w:val="24"/>
                <w:b w:val="1"/>
                <w:rtl w:val="0"/>
              </w:rPr>
              <w:t xml:space="preserve">finansējums tiks izlietots šādi</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202 297,06</w:t>
            </w:r>
            <w:r w:rsidR="00000000" w:rsidRPr="00000000" w:rsidDel="00000000">
              <w:rPr>
                <w:sz w:val="24"/>
                <w:i w:val="1"/>
                <w:rtl w:val="0"/>
              </w:rPr>
              <w:t xml:space="preserve"> euro</w:t>
            </w:r>
            <w:r w:rsidR="00000000" w:rsidRPr="00000000" w:rsidDel="00000000">
              <w:rPr>
                <w:sz w:val="24"/>
                <w:rtl w:val="0"/>
              </w:rPr>
              <w:t xml:space="preserve"> (ERAF 157 426,02 </w:t>
            </w:r>
            <w:r w:rsidR="00000000" w:rsidRPr="00000000" w:rsidDel="00000000">
              <w:rPr>
                <w:sz w:val="24"/>
                <w:i w:val="1"/>
                <w:rtl w:val="0"/>
              </w:rPr>
              <w:t xml:space="preserve">euro</w:t>
            </w:r>
            <w:r w:rsidR="00000000" w:rsidRPr="00000000" w:rsidDel="00000000">
              <w:rPr>
                <w:sz w:val="24"/>
                <w:rtl w:val="0"/>
              </w:rPr>
              <w:t xml:space="preserve">; nacionālais finansējums 44 871,04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1 101 697,60 </w:t>
            </w:r>
            <w:r w:rsidR="00000000" w:rsidRPr="00000000" w:rsidDel="00000000">
              <w:rPr>
                <w:sz w:val="24"/>
                <w:i w:val="1"/>
                <w:rtl w:val="0"/>
              </w:rPr>
              <w:t xml:space="preserve">euro</w:t>
            </w:r>
            <w:r w:rsidR="00000000" w:rsidRPr="00000000" w:rsidDel="00000000">
              <w:rPr>
                <w:sz w:val="24"/>
                <w:rtl w:val="0"/>
              </w:rPr>
              <w:t xml:space="preserve"> (ERAF 857 332,62 </w:t>
            </w:r>
            <w:r w:rsidR="00000000" w:rsidRPr="00000000" w:rsidDel="00000000">
              <w:rPr>
                <w:sz w:val="24"/>
                <w:i w:val="1"/>
                <w:rtl w:val="0"/>
              </w:rPr>
              <w:t xml:space="preserve">euro</w:t>
            </w:r>
            <w:r w:rsidR="00000000" w:rsidRPr="00000000" w:rsidDel="00000000">
              <w:rPr>
                <w:sz w:val="24"/>
                <w:rtl w:val="0"/>
              </w:rPr>
              <w:t xml:space="preserve">; nacionālais finansējums 244 364,98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592 180,29 </w:t>
            </w:r>
            <w:r w:rsidR="00000000" w:rsidRPr="00000000" w:rsidDel="00000000">
              <w:rPr>
                <w:sz w:val="24"/>
                <w:i w:val="1"/>
                <w:rtl w:val="0"/>
              </w:rPr>
              <w:t xml:space="preserve">euro</w:t>
            </w:r>
            <w:r w:rsidR="00000000" w:rsidRPr="00000000" w:rsidDel="00000000">
              <w:rPr>
                <w:sz w:val="24"/>
                <w:rtl w:val="0"/>
              </w:rPr>
              <w:t xml:space="preserve"> (ERAF 460 830,16 </w:t>
            </w:r>
            <w:r w:rsidR="00000000" w:rsidRPr="00000000" w:rsidDel="00000000">
              <w:rPr>
                <w:sz w:val="24"/>
                <w:i w:val="1"/>
                <w:rtl w:val="0"/>
              </w:rPr>
              <w:t xml:space="preserve">euro</w:t>
            </w:r>
            <w:r w:rsidR="00000000" w:rsidRPr="00000000" w:rsidDel="00000000">
              <w:rPr>
                <w:sz w:val="24"/>
                <w:rtl w:val="0"/>
              </w:rPr>
              <w:t xml:space="preserve">; nacionālais finansējums 131 350,13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554 671,16 </w:t>
            </w:r>
            <w:r w:rsidR="00000000" w:rsidRPr="00000000" w:rsidDel="00000000">
              <w:rPr>
                <w:sz w:val="24"/>
                <w:i w:val="1"/>
                <w:rtl w:val="0"/>
              </w:rPr>
              <w:t xml:space="preserve">euro</w:t>
            </w:r>
            <w:r w:rsidR="00000000" w:rsidRPr="00000000" w:rsidDel="00000000">
              <w:rPr>
                <w:sz w:val="24"/>
                <w:rtl w:val="0"/>
              </w:rPr>
              <w:t xml:space="preserve"> (ERAF 431 640,84 </w:t>
            </w:r>
            <w:r w:rsidR="00000000" w:rsidRPr="00000000" w:rsidDel="00000000">
              <w:rPr>
                <w:sz w:val="24"/>
                <w:i w:val="1"/>
                <w:rtl w:val="0"/>
              </w:rPr>
              <w:t xml:space="preserve">euro</w:t>
            </w:r>
            <w:r w:rsidR="00000000" w:rsidRPr="00000000" w:rsidDel="00000000">
              <w:rPr>
                <w:sz w:val="24"/>
                <w:rtl w:val="0"/>
              </w:rPr>
              <w:t xml:space="preserve">; nacionālais finansējums 123 030,32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1 849 200,30 </w:t>
            </w:r>
            <w:r w:rsidR="00000000" w:rsidRPr="00000000" w:rsidDel="00000000">
              <w:rPr>
                <w:sz w:val="24"/>
                <w:i w:val="1"/>
                <w:rtl w:val="0"/>
              </w:rPr>
              <w:t xml:space="preserve">euro</w:t>
            </w:r>
            <w:r w:rsidR="00000000" w:rsidRPr="00000000" w:rsidDel="00000000">
              <w:rPr>
                <w:sz w:val="24"/>
                <w:rtl w:val="0"/>
              </w:rPr>
              <w:t xml:space="preserve"> (ERAF 1 439 033,49 </w:t>
            </w:r>
            <w:r w:rsidR="00000000" w:rsidRPr="00000000" w:rsidDel="00000000">
              <w:rPr>
                <w:sz w:val="24"/>
                <w:i w:val="1"/>
                <w:rtl w:val="0"/>
              </w:rPr>
              <w:t xml:space="preserve">euro</w:t>
            </w:r>
            <w:r w:rsidR="00000000" w:rsidRPr="00000000" w:rsidDel="00000000">
              <w:rPr>
                <w:sz w:val="24"/>
                <w:rtl w:val="0"/>
              </w:rPr>
              <w:t xml:space="preserve">; nacionālais finansējums 410 166,81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finansējums 4.1.1. SAM 4.1.1.1. pasākuma ceturtajai kārtai nav iestrādāts likumā “Par valsts budžetu 2025. gadam un budžeta ietvaru 2025., 2026. un 2027. gadam”. Līdz šim finansējums tika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Plānots, ka finansējums finansējuma saņēmējiem tiks iestrādāts Finanšu ministrijas budžeta apakšprogrammā 62.10.00 “Eiropas Reģionālās attīstības fonda (ERAF) avansa maksājumi un atmaksas finansējuma saņēmējiem (2021 - 2027)” kā avansi un atmaksa finansējuma saņēmējiem par ERAF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no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izdevumi ir projektu ieviešanai nepieciešamie līdzekļi.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valsts budžeta līdzfinansējums normatīvajos aktos noteiktajā kārtībā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2023. gada 15. augusta noteikumi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pārdalīts finansējums no 4.1.1. specifiskā atbalsta mērķa "Nodrošināt vienlīdzīgu piekļuvi veselības aprūpei un stiprināt veselības sistēmu, tostarp primārās veselības aprūpes noturību" 4.1.1.1. pasākuma "Ārstniecības iestāžu infrastruktūras attīstība" ceturtās kārtas uz 4.1.1.1. pasākuma pirmo kārtu, vienlaikus tiek veikti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nodrošina ātrāku un kvalitatīvāku 4.1.1. SAM mērķu sasniegšanu un pakalpojumu pieejamību sabiedrības interesēs un tam nav ietekmes uz sabiedrības interesēm un pienākumiem, līdz ar to nav nepieciešams organizēt sabiedrības informēšanas pasākumus saistībā ar šī projekta izstrādi.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funkcijas pilda Veselības ministrija, sadarbības iestādes funkcijas – Centrālā finanšu un līgumu aģentūra. Projekta iesniedzējs un finansējuma saņēmēji ir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mērķis ir novirzīt 4.1.1.1. pasākuma 4. kārtas ietvaros neizlietoto finansējumu TOS un VTMEC infrastruktūras attīstībai 4.1.1.1. pasākuma pirmās kārtas ietvaros, šim nolūkam 4.1.1.1. pasākuma pirmās kārtas ietvaros tiek sniegts atbalsts valsts apmaksātu veselības aprūpes pakalpojumu infrastruktūras attīstībai saskaņā ar valsts nozīmes tautsaimniecības pakalpojumu sniegšanas nosacījumiem. Šobrīd ir nepieciešamas izmaiņas, lai neiestātos situācija, ka nav iespējams nodrošināt kvalitatīvu veselības aprūpi, papildus uzsverot, ka attiecībā uz ieguldījumiem ārstniecības iestāžu būvniecībā nav pieļaujams, ka valsts apmaksātie veselības aprūpes pakalpojumi iedzīvotājiem netiks sniegti, jo tas tiešā veidā ietekmēs cilvēku veselību vai pat dzīvību.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25-TA-1867</w:t>
    </w:r>
    <w:r>
      <w:br/>
    </w:r>
    <w:r w:rsidR="00000000" w:rsidRPr="00000000" w:rsidDel="00000000">
      <w:rPr>
        <w:rtl w:val="0"/>
      </w:rPr>
      <w:t xml:space="preserve">Izdrukāts 29.07.2026. 23.31 - 2.0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25-TA-1867</w:t>
    </w:r>
    <w:r>
      <w:br/>
    </w:r>
    <w:r w:rsidR="00000000" w:rsidRPr="00000000" w:rsidDel="00000000">
      <w:rPr>
        <w:rtl w:val="0"/>
      </w:rPr>
      <w:t xml:space="preserve">Izdrukāts 29.07.2026. 23.31 - 2.0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anotācija_(ex_ante)_25-TA-1867.docx</dc:title>
</cp:coreProperties>
</file>

<file path=docProps/custom.xml><?xml version="1.0" encoding="utf-8"?>
<Properties xmlns="http://schemas.openxmlformats.org/officeDocument/2006/custom-properties" xmlns:vt="http://schemas.openxmlformats.org/officeDocument/2006/docPropsVTypes"/>
</file>