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20. janvāra noteikumos Nr. 54 "Dekoratīvo augu pavairojamā materiāla atbilstības kritēriji un aprites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Komisijas Īstenošanas 2022.gada 12.decembra Direktīva (ES) 2022/2438, ar ko attiecībā uz Savienības reglamentētajiem nekarantīnas kaitīgajiem organismiem uz dekoratīvo augu pavairošanas materiāla, augļaugu pavairošanas materiāla un uz augļu ražošanai paredzētiem augļaugiem groza Direktīvu 93/49/EEK un Īstenošanas direktīvu 2014/98/ES (turpmāk - direktīva).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papildināt ar Eiropas Savienībā reglamentētie nekarantīnas organismiem (</w:t>
      </w:r>
      <w:r w:rsidR="00000000" w:rsidRPr="00000000" w:rsidDel="00000000">
        <w:rPr>
          <w:i w:val="1"/>
          <w:rtl w:val="0"/>
        </w:rPr>
        <w:t xml:space="preserve">Pseudomonas syringae</w:t>
      </w:r>
      <w:r w:rsidR="00000000" w:rsidRPr="00000000" w:rsidDel="00000000">
        <w:rPr>
          <w:rtl w:val="0"/>
        </w:rPr>
        <w:t xml:space="preserve"> pv. </w:t>
      </w:r>
      <w:r w:rsidR="00000000" w:rsidRPr="00000000" w:rsidDel="00000000">
        <w:rPr>
          <w:i w:val="1"/>
          <w:rtl w:val="0"/>
        </w:rPr>
        <w:t xml:space="preserve">actinidiae</w:t>
      </w:r>
      <w:r w:rsidR="00000000" w:rsidRPr="00000000" w:rsidDel="00000000">
        <w:rPr>
          <w:rtl w:val="0"/>
        </w:rPr>
        <w:t xml:space="preserve"> Takikawa, Serizawa, Ichikawa, Tsuyumu &amp; Goto un </w:t>
      </w:r>
      <w:r w:rsidR="00000000" w:rsidRPr="00000000" w:rsidDel="00000000">
        <w:rPr>
          <w:i w:val="1"/>
          <w:rtl w:val="0"/>
        </w:rPr>
        <w:t xml:space="preserve">Phytophthora ramorum</w:t>
      </w:r>
      <w:r w:rsidR="00000000" w:rsidRPr="00000000" w:rsidDel="00000000">
        <w:rPr>
          <w:rtl w:val="0"/>
        </w:rPr>
        <w:t xml:space="preserve"> (ES izolāti) Werres, De Cock &amp; Man in 't Veld) un jaunām dekoratīvo augu sugām, kas ir šo kaitīgo organismu saimniekaugi.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2009. gada 20. janvāra noteikumi Nr. 54 "Dekoratīvo augu pavairojamā materiāla atbilstības kritēriji un aprites kārtība""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jāpapildina ar Eiropas Savienībā reglamentētajiem nekarantīnas organismiem, kas noteikti direktīvā. Lai dekoratīvo augu sugu saraksts būtu pilnīgs un tajā tiktu iekļautas sugas, kurām nepieciešams uzraudzīt augu veselību, noteikumus ir jāpapildina ar dekoratīvo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prasības, sagatavojams Ministru kabineta noteikumu projekts "Grozījumi Ministru kabineta 2009. gada 20. janvāra noteikumos Nr. 54 "Dekoratīvo augu pavairojamā materiāla atbilstības kritēriji un aprites kārtība""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nosaka, ka attiecīgām dekoratīvo augu ģintīm un sugām ir Eiropas Savienībā reglamentētie nekarantīnas organismi (turpmāk - RNKO). Lai audzētājs vai izplatītājs turpmāk ievērotu noteikto dekoratīvo augu sugu un ģinšu augu veselības prasības, nepieciešams papildināt noteikumus. Papildinot noteikumu 1. pielikumu ar jaunām sugām un ģintīm, audzētājam vai izplatītājam būs jānodrošina dekoratīvo augu atbilstība kvaltātes un augu veselības kritērijiem, kā arī jāievēro noteikumos noteiktā aprites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pielikums (noteikumu projekta 2. punkts), kurā uzskaitītas dekoratīvo augu ģintis un sugas, tiek papildināts ar šādām sugām: akmens ozols </w:t>
      </w:r>
      <w:r w:rsidR="00000000" w:rsidRPr="00000000" w:rsidDel="00000000">
        <w:rPr>
          <w:i w:val="1"/>
          <w:rtl w:val="0"/>
        </w:rPr>
        <w:t xml:space="preserve">Quercus ilex</w:t>
      </w:r>
      <w:r w:rsidR="00000000" w:rsidRPr="00000000" w:rsidDel="00000000">
        <w:rPr>
          <w:rtl w:val="0"/>
        </w:rPr>
        <w:t xml:space="preserve"> L., Austrijas ozols </w:t>
      </w:r>
      <w:r w:rsidR="00000000" w:rsidRPr="00000000" w:rsidDel="00000000">
        <w:rPr>
          <w:i w:val="1"/>
          <w:rtl w:val="0"/>
        </w:rPr>
        <w:t xml:space="preserve">Quercus cerris</w:t>
      </w:r>
      <w:r w:rsidR="00000000" w:rsidRPr="00000000" w:rsidDel="00000000">
        <w:rPr>
          <w:rtl w:val="0"/>
        </w:rPr>
        <w:t xml:space="preserve"> L., sarkanais ozols ​​​​​​​</w:t>
      </w:r>
      <w:r w:rsidR="00000000" w:rsidRPr="00000000" w:rsidDel="00000000">
        <w:rPr>
          <w:i w:val="1"/>
          <w:rtl w:val="0"/>
        </w:rPr>
        <w:t xml:space="preserve">Quercus rubra</w:t>
      </w:r>
      <w:r w:rsidR="00000000" w:rsidRPr="00000000" w:rsidDel="00000000">
        <w:rPr>
          <w:rtl w:val="0"/>
        </w:rPr>
        <w:t xml:space="preserve"> L., aktinīdija ​​​​​​​</w:t>
      </w:r>
      <w:r w:rsidR="00000000" w:rsidRPr="00000000" w:rsidDel="00000000">
        <w:rPr>
          <w:i w:val="1"/>
          <w:rtl w:val="0"/>
        </w:rPr>
        <w:t xml:space="preserve">Actinidia</w:t>
      </w:r>
      <w:r w:rsidR="00000000" w:rsidRPr="00000000" w:rsidDel="00000000">
        <w:rPr>
          <w:rtl w:val="0"/>
        </w:rPr>
        <w:t xml:space="preserve"> Lindl, Eiropas lapegle ​​​​​​​</w:t>
      </w:r>
      <w:r w:rsidR="00000000" w:rsidRPr="00000000" w:rsidDel="00000000">
        <w:rPr>
          <w:i w:val="1"/>
          <w:rtl w:val="0"/>
        </w:rPr>
        <w:t xml:space="preserve">Larix decidua</w:t>
      </w:r>
      <w:r w:rsidR="00000000" w:rsidRPr="00000000" w:rsidDel="00000000">
        <w:rPr>
          <w:rtl w:val="0"/>
        </w:rPr>
        <w:t xml:space="preserve"> Mill., hibrīdā lapegle ​​​​​​​</w:t>
      </w:r>
      <w:r w:rsidR="00000000" w:rsidRPr="00000000" w:rsidDel="00000000">
        <w:rPr>
          <w:i w:val="1"/>
          <w:rtl w:val="0"/>
        </w:rPr>
        <w:t xml:space="preserve">Larix × eurolepis</w:t>
      </w:r>
      <w:r w:rsidR="00000000" w:rsidRPr="00000000" w:rsidDel="00000000">
        <w:rPr>
          <w:rtl w:val="0"/>
        </w:rPr>
        <w:t xml:space="preserve"> A. Henry, Japānas lapegle ​​​​​​​</w:t>
      </w:r>
      <w:r w:rsidR="00000000" w:rsidRPr="00000000" w:rsidDel="00000000">
        <w:rPr>
          <w:i w:val="1"/>
          <w:rtl w:val="0"/>
        </w:rPr>
        <w:t xml:space="preserve">Larix kaempferi</w:t>
      </w:r>
      <w:r w:rsidR="00000000" w:rsidRPr="00000000" w:rsidDel="00000000">
        <w:rPr>
          <w:rtl w:val="0"/>
        </w:rPr>
        <w:t xml:space="preserve"> (Lamb.) Carrière,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irbenes ​​​​​​​</w:t>
      </w:r>
      <w:r w:rsidR="00000000" w:rsidRPr="00000000" w:rsidDel="00000000">
        <w:rPr>
          <w:i w:val="1"/>
          <w:rtl w:val="0"/>
        </w:rPr>
        <w:t xml:space="preserve">Viburnum</w:t>
      </w:r>
      <w:r w:rsidR="00000000" w:rsidRPr="00000000" w:rsidDel="00000000">
        <w:rPr>
          <w:rtl w:val="0"/>
        </w:rPr>
        <w:t xml:space="preserve"> L., kamēlija ​​​​​​​</w:t>
      </w:r>
      <w:r w:rsidR="00000000" w:rsidRPr="00000000" w:rsidDel="00000000">
        <w:rPr>
          <w:i w:val="1"/>
          <w:rtl w:val="0"/>
        </w:rPr>
        <w:t xml:space="preserve">Camellia</w:t>
      </w:r>
      <w:r w:rsidR="00000000" w:rsidRPr="00000000" w:rsidDel="00000000">
        <w:rPr>
          <w:rtl w:val="0"/>
        </w:rPr>
        <w:t xml:space="preserve"> L., parastais osis ​​​​​​​</w:t>
      </w:r>
      <w:r w:rsidR="00000000" w:rsidRPr="00000000" w:rsidDel="00000000">
        <w:rPr>
          <w:i w:val="1"/>
          <w:rtl w:val="0"/>
        </w:rPr>
        <w:t xml:space="preserve">Fraxinus excelsior</w:t>
      </w:r>
      <w:r w:rsidR="00000000" w:rsidRPr="00000000" w:rsidDel="00000000">
        <w:rPr>
          <w:rtl w:val="0"/>
        </w:rPr>
        <w:t xml:space="preserve"> L., rododendri ​​​​​​​ ​​​​​​​</w:t>
      </w:r>
      <w:r w:rsidR="00000000" w:rsidRPr="00000000" w:rsidDel="00000000">
        <w:rPr>
          <w:i w:val="1"/>
          <w:rtl w:val="0"/>
        </w:rPr>
        <w:t xml:space="preserve">Rhododendron L.,</w:t>
      </w:r>
      <w:r w:rsidR="00000000" w:rsidRPr="00000000" w:rsidDel="00000000">
        <w:rPr>
          <w:rtl w:val="0"/>
        </w:rPr>
        <w:t xml:space="preserve"> izņemot Simsa rododendrus </w:t>
      </w:r>
      <w:r w:rsidR="00000000" w:rsidRPr="00000000" w:rsidDel="00000000">
        <w:rPr>
          <w:i w:val="1"/>
          <w:rtl w:val="0"/>
        </w:rPr>
        <w:t xml:space="preserve">R. simsii</w:t>
      </w:r>
      <w:r w:rsidR="00000000" w:rsidRPr="00000000" w:rsidDel="00000000">
        <w:rPr>
          <w:rtl w:val="0"/>
        </w:rPr>
        <w:t xml:space="preserve"> L., zaļā duglāzija ​​​​​​​</w:t>
      </w:r>
      <w:r w:rsidR="00000000" w:rsidRPr="00000000" w:rsidDel="00000000">
        <w:rPr>
          <w:i w:val="1"/>
          <w:rtl w:val="0"/>
        </w:rPr>
        <w:t xml:space="preserve">Pseudotsuga menziesii </w:t>
      </w:r>
      <w:r w:rsidR="00000000" w:rsidRPr="00000000" w:rsidDel="00000000">
        <w:rPr>
          <w:rtl w:val="0"/>
        </w:rPr>
        <w:t xml:space="preserve">(Mirb.) Franco un ēdamā kastaņa ​​​​​​​</w:t>
      </w:r>
      <w:r w:rsidR="00000000" w:rsidRPr="00000000" w:rsidDel="00000000">
        <w:rPr>
          <w:i w:val="1"/>
          <w:rtl w:val="0"/>
        </w:rPr>
        <w:t xml:space="preserve">Castanea sativa </w:t>
      </w:r>
      <w:r w:rsidR="00000000" w:rsidRPr="00000000" w:rsidDel="00000000">
        <w:rPr>
          <w:rtl w:val="0"/>
        </w:rPr>
        <w:t xml:space="preserve">Mill.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Komisijas 2019. gada 28. novembra Īstenošanas regula 2019/2072, ar ko paredz vienotus nosacījumus Eiropas Parlamenta un Padomes Regulas (ES) 2016/2031 par aizsardzības pasākumiem pret augiem kaitīgajiem organismiem īstenošanai, atceļ Komisijas Regulu (EK) Nr. 690/2008 un groza Komisijas Īstenošanas regulu (ES) 2018/2019 (turpmāk - regula), ir papildināta ar diviem jauniem RNKO - </w:t>
      </w:r>
      <w:r w:rsidR="00000000" w:rsidRPr="00000000" w:rsidDel="00000000">
        <w:rPr>
          <w:b w:val="1"/>
          <w:i w:val="1"/>
          <w:rtl w:val="0"/>
        </w:rPr>
        <w:t xml:space="preserve">Pseudomonas syringae pv. actinidiae</w:t>
      </w:r>
      <w:r w:rsidR="00000000" w:rsidRPr="00000000" w:rsidDel="00000000">
        <w:rPr>
          <w:rtl w:val="0"/>
        </w:rPr>
        <w:t xml:space="preserve"> Takikawa, Serizawa, Ichikawa, Tsuyumu &amp; Goto un </w:t>
      </w:r>
      <w:r w:rsidR="00000000" w:rsidRPr="00000000" w:rsidDel="00000000">
        <w:rPr>
          <w:b w:val="1"/>
          <w:i w:val="1"/>
          <w:rtl w:val="0"/>
        </w:rPr>
        <w:t xml:space="preserve">Phytophthora ramorum</w:t>
      </w:r>
      <w:r w:rsidR="00000000" w:rsidRPr="00000000" w:rsidDel="00000000">
        <w:rPr>
          <w:b w:val="1"/>
          <w:rtl w:val="0"/>
        </w:rPr>
        <w:t xml:space="preserve"> </w:t>
      </w:r>
      <w:r w:rsidR="00000000" w:rsidRPr="00000000" w:rsidDel="00000000">
        <w:rPr>
          <w:rtl w:val="0"/>
        </w:rPr>
        <w:t xml:space="preserve">(ES izolāti) Werres, De Cock &amp; Man in 't Veld, tad arī Komisijas 1993. gada 23. jūnija Direktīva 93/49/EEK, ar ko nosaka sarakstu ar nosacījumiem, kas jāievēro attiecībā uz dekoratīvo augu pavairošanas materiālu un dekoratīvajiem augiem saskaņā ar Padomes Direktīvu 91/682/EEK, ir attiecīgi jāpapildina ar šiem RNKO.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pielikums (noteikumu projekta 3.punkts) tiek papildināts ar RNKO attiecīgajām dekoratīvo augu sugām, un RNKO klātbūtnes pieļaujamajiem līmeņiem dekoratīvā auga pavairošanas materiālā.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dekoratīvo augu pavairojamā materiāla audzētājiem un tirgotājiem, kas reģistrēti Kultūraugu uzraudzības valsts informācijas sistēmas Profesionālo operatoru oficiālajā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dekoratīvo augu pavairojamā materiāla audzētājiem un tirgotājiem, kas reģistrēti Kultūraugu uzraudzības valsts informācijas sistēmas Profesionālo operatoru oficiālajā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sakārtota nozare un uzlabots normatīvais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 gada 7. februāra noteikumi Nr. 76 "Augļu koku un ogulāju pavairošanas materiāla atbilstības kritēriju un aprites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normu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2022.gada 12.decembra Direktīva (ES) 2022/2438, ar ko attiecībā uz Savienības reglamentētajiem nekarantīnas kaitīgajiem organismiem uz dekoratīvo augu pavairošanas materiāla, augļaugu pavairošanas materiāla un uz augļu ražošanai paredzētiem augļaugiem groza Direktīvu 93/49/EEK un Īstenošanas direktīvu 2014/98/ES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2022.gada 12.decembra Direktīva (ES) 2022/2438, ar ko attiecībā uz Savienības reglamentētajiem nekarantīnas kaitīgajiem organismiem uz dekoratīvo augu pavairošanas materiāla, augļaugu pavairošanas materiāla un uz augļu ražošanai paredzētiem augļaugiem groza Direktīvu 93/49/EEK un Īstenošanas direktīvu 2014/98/ES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2017. gada 7. februāra noteikumos Nr. 76 "Augļu koku un ogulāju pavairošanas materiāla atbilstības kritēriju un aprites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2017. gada 7. februāra noteikumos Nr. 76 "Augļu koku un ogulāju pavairošanas materiāla atbilstības kritēriju un aprites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2017. gada 7. februāra noteikumos Nr. 76 "Augļu koku un ogulāju pavairošanas materiāla atbilstības kritēriju un aprites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2017. gada 7. februāra noteikumos Nr. 76 "Augļu koku un ogulāju pavairošanas materiāla atbilstības kritēriju un aprites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2017. gada 7. februāra noteikumos Nr. 76 "Augļu koku un ogulāju pavairošanas materiāla atbilstības kritēriju un aprites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2017. gada 7. februāra noteikumos Nr. 76 "Augļu koku un ogulāju pavairošanas materiāla atbilstības kritēriju un aprites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noteiktas prasības dalībvalsts ziņošanai Komisijai par pieņemtajiem grozījumiem.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2017. gada 7. februāra noteikumos Nr. 76 "Augļu koku un ogulāju pavairošanas materiāla atbilstības kritēriju un aprites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2017. gada 7. februāra noteikumos Nr. 76 "Augļu koku un ogulāju pavairošanas materiāla atbilstības kritēriju un aprites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2017. gada 7. februāra noteikumos Nr. 76 "Augļu koku un ogulāju pavairošanas materiāla atbilstības kritēriju un aprites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2017. gada 7. februāra noteikumos Nr. 76 "Augļu koku un ogulāju pavairošanas materiāla atbilstības kritēriju un aprites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Stādu audzētāju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Veicot dekoratīvo augu pavairojamo materiālu uzraudzību, būs jāpievērš uzmanība jaunām dekoratīvo augu sugām, kā arī jaunu RNKO izpausmju novērtējumam uz augiem.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22-TA-3262</w:t>
    </w:r>
    <w:r>
      <w:br/>
    </w:r>
    <w:r w:rsidR="00000000" w:rsidRPr="00000000" w:rsidDel="00000000">
      <w:rPr>
        <w:rtl w:val="0"/>
      </w:rPr>
      <w:t xml:space="preserve">Izdrukāts 29.07.2026. 21.36 - 1.0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22-TA-3262</w:t>
    </w:r>
    <w:r>
      <w:br/>
    </w:r>
    <w:r w:rsidR="00000000" w:rsidRPr="00000000" w:rsidDel="00000000">
      <w:rPr>
        <w:rtl w:val="0"/>
      </w:rPr>
      <w:t xml:space="preserve">Izdrukāts 29.07.2026. 21.36 - 1.0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anotācija_(ex_ante)_22-TA-3262.docx</dc:title>
</cp:coreProperties>
</file>

<file path=docProps/custom.xml><?xml version="1.0" encoding="utf-8"?>
<Properties xmlns="http://schemas.openxmlformats.org/officeDocument/2006/custom-properties" xmlns:vt="http://schemas.openxmlformats.org/officeDocument/2006/docPropsVTypes"/>
</file>