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 (turpmāk – grozījumu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2021.–2027. gada plānošanas perioda vadības likuma 19. panta 13. punktu, lai nodrošinātu sekmīgu un savlaicīgu Eiropas Savienības fondu līdzekļu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2021.–2027. gadam 10.pielikumu “Eiropas Savienības kohēzijas politikas programmas 2021.-2027. gadam vidusposma novērtējums” (turpmāk – Vidusposma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2025. gada 13. oktobra rīkojumu Nr. 650 “Grozījumi Ministru kabineta 2021. gada 16. novembra rīkojumā Nr. 841 "Par Eiropas Savienības kohēzijas politikas programmu 2021.–2027. gadam" (prot. Nr. 41 46.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Valsts kanceleja kā Eiropas Savienības fondu atbildīgā iestāde (turpmāk - atbildīgā iestāde), lai nodrošinātu sekmīgu 4.3.4.4. pasākuma "Sociālā dialoga attīstība, stiprinot sociālo partneru veiktspēju līdzdarboties likumdošanas, nacionālo reformu un koplīgumu slēgšanas pārrunu procesā" (turpmāk - 4.3.4.4. pasākums) īstenošanu, ir izvērtējusi nepieciešamību precizēt Ministru kabineta 2023. gada 5. septembra noteikumu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 (turpmāk – MK noteikumi Nr. 509) 4. un 23. punktu (pasākuma īstenošanas termiņš), kā arī 6., 7. un 8. punktu (pasākuma kopējais finansējums), vienlaikus veicot arī  precizējumus 22.3. un 22.9.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izstrādes mērķis ir precizēt 4.3.4.4. pasākuma kopējā pieejamā finansējuma apjomu, kā arī pagarināt pasākuma īstenošanas termiņu atbilstoši Eiropas Savienības kohēzijas politikas plānošanas dokumentos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509 reglamentē kārtību, kādā īsteno 4.3.4.4. pasākumu, nosakot tā mērķi, plānoto un pieejamo finansējumu un nacionālā līdzfinansējuma likmi, prasības Eiropas Sociālā fonda Plus finansējuma saņēmējam, atbalstāmās darbības un attiecināmās izmaksas, kā arī īstenošanas termiņu. Atbildīgās iestādes funkcijas 4.3.4.4. pasākuma ietvaros pilda Valsts kanceleja, finansējuma saņēmēji ir Latvijas Brīvo arodbiedrību savienība (turpmāk - LBAS) un Latvijas Darba devēju konfederācija (turpmāk - LDDK). 2024. gada 16. februārī tika noslēgts līgums par investīciju projekta Nr. 4.3.4.4/1/23/I/001 “Sociālā dialoga attīstība, stiprinot Latvijas Darba devēju konfederācijas veiktspēju līdzdarboties likumdošanas, nacionālo reformu un koplīgumu slēgšanas pārrunu procesā” īstenošanu, savukārt 2024. gada 23. aprīlī - par investīciju projekta Nr. 4.3.4.4/1/23/I/002 "Latvijas Brīvo arodbiedrību savienības kapacitātes stiprināšana dalībai sociālajā dialogā visos līmeņos"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īstenotā investīciju projekta ietvaros vairāk nekā 80% no projekta finansējuma tiek novirzīti ekspertu atalgojumam, jo tie nodrošina profesionālu atzinumu, priekšlikumu un analīzes sagatavošanu dažādās jomās. Arī ar otra sociālā partnera LDDK īstenotā projekta atbalstu tiek nodrošināta pilnvērtīga ekspertu iesaiste gan nacionālā, gan starptautiskā līmenī, sastādot ap 60% no kopējā finansējuma, kā arī kvalitatīvi ārpakalpojumi izvērtējumu, pētījumu un aptauju izstrādē un to analīzes veikšanā, tostarp veicinot pierādījumos balstītu lēmumu pieņemšanu un palīdzot sagatavot kvalitatīvus priekšlikumus rīcībpolitikas pilnveidei. Atbilstoši MK noteikumiem Nr. 509 abu projektu īstenošanas termiņš ir noteikts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oktobra ES fondu tematiskajā komitejā konceptuāli atbalstīts Finanšu ministrijas priekšlikums pārskatīt daļu no elastības finansējuma apjoma, lai novirzītu to nacionālajai prioritātei - drošībai un noturībai - inovāciju un produktivitātes jomā - kiberdrošībai, enerģētikas jomā - enerģētiskās neatkarības stiprināšanai, reģionālās attīstības jomā - infrastruktūras attīstībai uzņēmumiem, nevienlīdzības mazināšanas jomā - atbalstam vistrūcīgākajiem ("pārtikas pakas") un pārējo elastības finansējumu saglabājot sākotnēji plānotajām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13. oktobra rīkojumu Nr. 650 “Grozījumi Ministru kabineta 2021. gada 16. novembra rīkojumā Nr. 841 "Par Eiropas Savienības kohēzijas politikas programmu 2021.–2027. gadam" (prot. Nr. 41 46. §) cita starpā tiek apstiprināti arī elastības finansējuma pārdaļu priekšlikumi un to avoti (Vidusposma novērtējums, Tabula Nr.2 “Elastības finansējuma pārdaļu priekšlikumi un to avoti” </w:t>
      </w:r>
      <w:r w:rsidR="00000000" w:rsidRPr="00000000" w:rsidDel="00000000">
        <w:rPr>
          <w:i w:val="1"/>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https://likumi.lv/ta/id/363662</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ir saņemts pozitīvs Eiropas Komisijas lēmums par Latvijas iesniegtā Vidusposma novērtējuma rezultātiem, elastības finansējuma sadalījums starp specifisko atbalsta mērķu pasākumiem ir pārskatīts, Eiropas Savienības kohēzijas politikas programmas 2021.–2027. gadam grozījumos tā pārdales fokusējot uz nacionālās prioritātes - drošības stiprināšanu. No 4.3.4.4. pasākumam sākotnēji plānotā elastības finansējuma tiek pārdalīti 35 632 EUR (tai skaitā Eiropas Sociālā fonda Plus daļa 30 287 EUR apjomā un valsts budžeta līdzfinansējums - 5 345 EUR) atbalstam materiāli nenodrošinātajiem (Vidusposma novērtējums, Tabula Nr.2 “Elastības finansējuma pārdaļu priekšlikumi un to avoti” </w:t>
      </w:r>
      <w:r w:rsidR="00000000" w:rsidRPr="00000000" w:rsidDel="00000000">
        <w:rPr>
          <w:i w:val="1"/>
          <w:rtl w:val="0"/>
        </w:rPr>
        <w:t xml:space="preserve">[2]</w:t>
      </w:r>
      <w:r w:rsidR="00000000" w:rsidRPr="00000000" w:rsidDel="00000000">
        <w:rPr>
          <w:rtl w:val="0"/>
        </w:rPr>
        <w:t xml:space="preserve">). Tādējādi MK noteikumos Nr. 509 norādītais kopējā pieejamā finansējuma apjoms ir jāsamazina.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MK noteikumus Nr. 509, kā 4.3.4.4. pasākuma ietvaros sasniedzamo rādītāju un investīciju projektu īstenošanas termiņš tika noteikts 2027. gada 31. decembris (4. un 23. punkts), kas nav maksimālais Eiropas Savienības kohēzijas politikas plānošanas dokumentos noteiktais beigu datums. LBAS ir vienīgais darbinieku interešu pārstāvis nacionālā līmeņa trīspusējā sociālajā dialogā, nodrošinot līdzdalību politikas un tiesību aktu izstrādē, tai skaitā Nacionālās trīspusējās sadarbības padomes ietvaros. Savukārt LDDK ir lielākā darba devējus pārstāvošā organizācija Latvijā un organizācija, kas nodrošina darba devēju interešu pārstāvniecību nacionāla līmeņa trīspusēja sociālā dialoga institūcijās (Nacionālajā trīspusējās sadarbības padomē un tās apakšpadomēs) un starptautiski, tai skaitā BusinessEurope, kā arī Eiropas semestra un strukturētā dialoga ietvaros. Sociālo partneru kapacitātes stiprināšana ir nepieciešama kvalitatīvai iesaistei gan politikas dokumentu un tiesību aktu veidošanā, gan demokrātijas stiprināšanā, kuras būtisks elements ir kvalitatīvs un funkcionējošs trīspusējais sociālais dialogs. Uz nepieciešamību stiprināt sociālo partneru kapacitāti ir norādījušas arī ES līmeņa institūcijas,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2023. gada 1. jūnija rezolūcija par sociālā dialoga stiprināšanu (2023/2536(RSP), kurā uzsvērta sociālā dialoga nozīme, nepieciešamība atbalstīt sociālo dialogu un sociālo partneru spēju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priekšlikums Padomes ieteikumam par sociālā dialoga stiprināšanu Eiropas Savienībā (COM/2023/38), kurā cita starpā iekļauti ieteikumi attiecībā uz sociālā dialoga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2021. gada 24. jūnija regula par Eiropas Sociālā fonda Plus (ESF+) izveidi (2021/1057), kurā uzsvērta ESF+ sadaļas piešķiršana sociālo partneru organizāciju spēju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jāatzīst, ka ārpus projektiem sociālo partneru rīcībā esošie finanšu resursi ir ierobežoti un nepietiekami, lai patstāvīgi nodrošinātu nepieciešamo ekspertu kapacitāti, ņemot vērā, ka organizāciju pamatienākumi (biedru naudas iemaksas) sedz tikai minimālās administratīvās izmaksas. Tāpēc, kaut arī MK noteikumos Nr. 509 noteiktie iznākuma un rezultāta rādītāji </w:t>
      </w:r>
      <w:r w:rsidR="00000000" w:rsidRPr="00000000" w:rsidDel="00000000">
        <w:rPr>
          <w:i w:val="1"/>
          <w:rtl w:val="0"/>
        </w:rPr>
        <w:t xml:space="preserve">[3]</w:t>
      </w:r>
      <w:r w:rsidR="00000000" w:rsidRPr="00000000" w:rsidDel="00000000">
        <w:rPr>
          <w:rtl w:val="0"/>
        </w:rPr>
        <w:t xml:space="preserve"> ir sasniegti, būtu nepieciešams pagarināt projektu īstenošanas termiņu, lai efektīvāk izmantotu piešķirto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509 22.3. apakšpunktā ir noteikti finansējuma saņēmēja pienākumi komunikācijas jomā, kas ir stingrāki nekā ES fondu 2021.–2027. gada un Atveseļošanas fonda komunikācijas un dizaina vadlīniju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509 22.9. apakšpunktā ir iekļauta atsauce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prasība finansējuma saņēmējam parakstīt interešu konflikta neesības apliecinājumu. Tā kā šis regulējums ir tieši piemērojams t.s. daudzpakāpju projektiem, bet 4.3.4.4. pasākuma projekti par tādiem nav uzskatāmi, šāda prasība un atsauce uz Regulas 61.pantu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https://likumi.lv/ta/id/363662</w:t>
      </w:r>
      <w:r w:rsidR="00000000" w:rsidRPr="00000000" w:rsidDel="00000000">
        <w:rPr>
          <w:i w:val="1"/>
          <w:rtl w:val="0"/>
        </w:rPr>
        <w:t xml:space="preserve">[3] Iznākuma rādītājs i.4.3.4.c “Sociālo partneru skaits, kas saņēmuši atbalstu - 2” un rezultāta rādītājs r.4.3.4.b “Atbalstīto sociālo partneru skaits, kas sniedz atzinumus/priekšlikums likumdošanas procesā un Eiropas Semestra ietvaros - 2”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2025. gada 13. oktobra rīkojumu Nr. 650 “Grozījumi Ministru kabineta 2021. gada 16. novembra rīkojumā Nr. 841 "Par Eiropas Savienības kohēzijas politikas programmu 2021.–2027. gadam" (prot. Nr.41 46. §), tiek rosināti grozījumi MK noteikumos Nr. 509, samazinot 6. punktā noteikto kopējā pieejamā finansējuma apjomu, kā arī svītrojot informāciju par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ietvaros kopējais pieejamais finansējums ir 1 704 369 euro, tai skaitā Eiropas Sociālā fonda Plus finansējums 1 448 713 un valsts budžeta līdzfinansējums 255 656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precizēta 7. punkta redakcija, svītrojot pirmo teikumu, kas noteica 4.3.4.4. pasākuma finansējuma apjomu pirms Eiropas Komisijas lēmuma par vidusposma pārskatu un elastības finansējuma piešķiršanas. Pēc minētā Eiropas Komisijas lēmuma viss pasākuma finansējums tiek pārkvalificēts par pieejamo finansējumu un norādīts 6. punktā. Tāpat tiek svītrots 8. punkts, ņemot vērā, ka Eiropas Komisijas lēmums par vidusposma pārskatu ir saņemts un Programmā ir veikti attiecīgi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finansējums plānots intervences kodā Nr. 152 "Pasākumi, kas veicina vienlīdzīgas iespējas un aktīvu līdzdalību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finansējuma saņēmēja lūgumam pagarināt projekta īstenošanas termiņu, tiek precizētas 4. un 23. punkta redakcijas, nosakot 2029. gada 31. decembri kā termiņu, līdz kuram sasniedzami 4.3.4.4. pasākuma rādītāji un īstenojami projekti. Projektu īstenošanas termiņa pagarinājums ļaus efektīvāk izmantot pieejamo elastības finansējumu, turpinot nodrošināt pilnvērtīgu ekspertu iesaisti sociālā dialoga procesos gan nacionālā, gan starptautiskā līmenī ilgākā laika posmā. Kvalitatīva sociālo partneru iesaiste ir īpaši būtiska, ņemot vērā tuvāko gadu stratēģiski nozīmīgos procesus - nākamā daudzgadu budžeta plānošana, dalība Nacionālā attīstības plāna izstrādē, kas tieši ietekmēs investīciju piesaisti un ekonomikas izaugsmes potenciālu. Kā atzīts Eiropas Komisijas un Eiropas Padomes rekomendācijās, sociālo partneru iesaiste Eiropas semestra procesā ir kritiski svarīga efektīvai atgriezeniskai saitei, līdz ar to projektu termiņa pagarinājums ļaus sociālo partneru ekspertiem turpināt darbu arī Eiropas semestra ietvaros. 2028. gadā Latvija būs prezidējošā valsts Eiropas Savienības Padomē, kas būtiski palielinās arī sociālo partneru lomu un atbildību. Šajā periodā būs nepieciešama augsta līmeņa ekspertu iesaiste, lai nodrošinātu kvalitatīvu Latvijas pozīciju pārstāvību un sociālā dialoga procesu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 509 22.3. apakšpunkts, nosakot, ka finansējuma saņēmējam ir pienākums publicēt savā tīmekļvietnē aktuālo informāciju par projekta īstenošanu, tomēr nenosakot konkrētu šī pienākuma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22.9. apakšpunkta redakcija, svītrojot atsauci uz Regulu un prasību parakstīt interešu konflikta neesības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grozījumiem MK noteikumos Nr. 509, būs nepieciešams veikt grozījumus arī līgumos par projektu Nr. 4.3.4.4/1/23/I/001 un Nr. 4.3.4.4/1/23/I/002 īstenošanu, precizējot projekta budžeta kopsavilkumu, finansēšanas plānu, īstenošanas grafiku, darbību aprakstu un nepieciešamības gadījumā citas sadaļas. Ņemot vērā, ka priekšlikumu pagarināt projektu īstenošanas periodu ir ierosinājuši paši finansējuma saņēmēji, šie grozījumi pozitīvi ietekmēs viņu intereses, dodot iespēju palielināt projekta ietvaros sasniedzamos rezultātus un paaugstināt ieguldītā finansējuma atdevi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pieejamais kopējais finansējums ar elastības finansējumu ir 1 704 369 euro, tai skaitā ESF+ finansējums – 1 448 713 euro un valsts budžeta līdzfinansējums – 255 656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projekta attiecināmajām izmaksām. Budžeta izdevumi ir kopējie projekta ieviešanai nepieciešamie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ieviešana ir uzsākta 2024. gada I-II ceturksnī un atbilstoši spēkā esošajiem līgumiem ir plānota līdz 2027. gada 31. decembrim. Projektos var tikt plānoti grozījumi, lai nepieciešamības gadījumā pagarinātu projektu ieviešanu ne ilgāk kā līdz 2029. gada 31. decembrim. No projektu uzsākšanas līdz 2025. gada beigām SAMP 4.3.4.4. abu projektu investīciju kopējā izpilde ir 614 532 euro (tai skaitā ESF+ finansējums 522 352 euro un valsts budžeta līdzfinansējums – 92 180 euro). Atlikušā finansējuma sadalījums pa gadiem indikatīvi plānots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un 2027. gadā – 350 000 euro ik gadu, tai skaitā ESF+ finansējums 297 500 euro un valsts budžeta līdzfinansējums 52 500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 300 000 euro, tai skaitā ESF+ finansējums 255 000 euro un valsts budžeta līdzfinansējums 45 000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 89 837 euro, tai skaitā ES+ finansējums 76 361 euro un valsts budžeta līdzfinansējums 13 476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finansējuma saņēmēju izstrādātiem un iesniegtiem līguma par projekta īstenošanu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4.3.4.4. pasākumam valsts budžeta līdzfinansējumu Finanšu ministrija pieprasīs atbilstoši Ministru kabineta 2018. gada 17. jūlija noteikumos Nr. 421 "Kārtība, kādā veic gadskārtējā valsts budžeta likumā noteiktās apropriācijas izmaiņas" noteiktajai kārtībai. Nepieciešamo finansējumu Finanšu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4.3.4.4. pasākuma finansējuma saņēmēji ir sociālie partneri – LBAS un LDDK, ar kuriem šis grozījumu projekts ir ticis 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samazināt 4.3.4.4. pasākuma finansējuma apjomu, pamatojoties uz Ministru kabineta 2025. gada 13. oktobra rīkojumu Nr. 650 “Grozījumi Ministru kabineta 2021. gada 16. novembra rīkojumā Nr. 841 "Par Eiropas Savienības kohēzijas politikas programmu 2021.–2027. gadam" (prot. Nr. 41 46. §), kur cita starpā ir apstiprināti elastības finansējuma pārdaļu priekšlikumi un to avoti. Ņemot vērā, ka vadošā iestāde organizēja minēto grozījumu Eiropas Savienības kohēzijas politikas programmā 2021.–2027. gadam saskaņošanu ES fondu uzraudzības komitejas rakstiskajā procedūrā, kurā ar balsstiesībām piedalās sociālo un sadarbības partneru pārstāvji (skat. informāciju tiesību akta 25-TA-2199 pasē), atsevišķa sabiedrības līdzdalība šajā gadījumā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26-TA-546</w:t>
    </w:r>
    <w:r>
      <w:br/>
    </w:r>
    <w:r w:rsidR="00000000" w:rsidRPr="00000000" w:rsidDel="00000000">
      <w:rPr>
        <w:rtl w:val="0"/>
      </w:rPr>
      <w:t xml:space="preserve">Izdrukāts 29.07.2026. 22.58 - 3.0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26-TA-546</w:t>
    </w:r>
    <w:r>
      <w:br/>
    </w:r>
    <w:r w:rsidR="00000000" w:rsidRPr="00000000" w:rsidDel="00000000">
      <w:rPr>
        <w:rtl w:val="0"/>
      </w:rPr>
      <w:t xml:space="preserve">Izdrukāts 29.07.2026. 22.58 - 3.0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anotācija_(ex_ante)_26-TA-546.docx</dc:title>
</cp:coreProperties>
</file>

<file path=docProps/custom.xml><?xml version="1.0" encoding="utf-8"?>
<Properties xmlns="http://schemas.openxmlformats.org/officeDocument/2006/custom-properties" xmlns:vt="http://schemas.openxmlformats.org/officeDocument/2006/docPropsVTypes"/>
</file>