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3. decembra noteikumos Nr.775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 (turpmāk - MK noteikumu projekts) izstrādāts, lai nodrošinātu atbalsta sniegšanu atbilstoši spēkā esošajai normatīvajam regulējumam un precizētu pieejamo finansējumu.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mērķis ir precizēt atbalsta programmas nosacījumus, pieejamo finansējumu, sasniedzamos rādītājus un atbalsta intensitāti, lai nodrošinātu pilnvērtīgu pasākuma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3. decembra noteikumu Nr.775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 (turpmāk - Noteikumi Nr.775) mērķis ir nodrošināt finansējumu sadarbības tīklu dalībnieku internacionalizācijai un sadarbības veicināšanai starp privāto, publisko un pētniecības sektoru. Atbalsta programma paredz sniegt sīkiem (mikro), maziem, vidējiem un lieliem komersantiem, tai skaitā valsts kapitālsabiedrībām un pētniecības un zināšanu izplatīšanas organizācijām atbalstu līdz 50 000 </w:t>
      </w:r>
      <w:r w:rsidR="00000000" w:rsidRPr="00000000" w:rsidDel="00000000">
        <w:rPr>
          <w:i w:val="1"/>
          <w:rtl w:val="0"/>
        </w:rPr>
        <w:t xml:space="preserve">euro </w:t>
      </w:r>
      <w:r w:rsidR="00000000" w:rsidRPr="00000000" w:rsidDel="00000000">
        <w:rPr>
          <w:rtl w:val="0"/>
        </w:rPr>
        <w:t xml:space="preserve">(sadarbības veicināšanai starp komersantiem un pētniecības un zināšanu izplatīšanas organizācijām, jaunu produktu mērogošanai, izcilības veicināšanai uzņēmējdarbībā un pasākumiem nozares popularizēšanai u.c. aktivitātēm).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Nr.775 iekļautas atsauces uz Saimniecisko darbību statistiskā klasifikācija Eiropas Kopienā, 2. redakciju, kas 2024. gada 31. decembrī beigusi darbību. No 2025. gada 1. janvāra tiek piemērota Saimniecisko darbību statistiskā klasifikācija Eiropas Kopienā, 2.1. redakcija (turpmāk - NACE 2.1. redakcija), ko nepieciešams iekļaut Noteikumos Nr.609.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Eiropas Savienības fondu komitejā 2024. gada 31. oktobrī ir pieņemts lēmums par finansējuma novirzīšanu no Eiropas Savienības kohēzijas politikas programmas 2021.–2027.gadam 1.politikas mērķa “Konkurentspējīgāka un viedāka Eiropa, veicinot inovatīvas un viedas ekonomiskās pārmaiņas un reģionālo IKT savienojamību”, t. sk.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(1 831 371 </w:t>
      </w:r>
      <w:r w:rsidR="00000000" w:rsidRPr="00000000" w:rsidDel="00000000">
        <w:rPr>
          <w:i w:val="1"/>
          <w:rtl w:val="0"/>
        </w:rPr>
        <w:t xml:space="preserve">euro </w:t>
      </w:r>
      <w:r w:rsidR="00000000" w:rsidRPr="00000000" w:rsidDel="00000000">
        <w:rPr>
          <w:rtl w:val="0"/>
        </w:rPr>
        <w:t xml:space="preserve">apmērā) valsts drošības prioritātēm. Līdz ar to, Noteikumos Nr.775 nepieciešami attiecīgi precizējumi, kas paredz plānotā finansējuma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Uzņēmumus pārstāvošās organizācijas ir norādījušas, ka attiecināmo izmaksu tvērumu un atbalsta intensitāte nerada pietiekamus stimulus, kas nodrošinātu nozares komersantu apvienošanos kopīgu mērķu sasniegšanā un ilgtermiņa attīstības, sadarbības un internacionalizācijas plānošanā.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Ekonomikas ministrijas ierosinājuma un nozares asociāciju priekšlikumiem </w:t>
      </w:r>
      <w:r w:rsidR="00000000" w:rsidRPr="00000000" w:rsidDel="00000000">
        <w:rPr>
          <w:b w:val="1"/>
          <w:rtl w:val="0"/>
        </w:rPr>
        <w:t xml:space="preserve">MK noteikumu projekts paredz</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precizēt pasākuma plānoto finansējumu un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fondu komitejas 2024. gada 31. oktobra pieņemtā lēmuma izpildi, kas ietver elastības finansējuma daļas - 1 831 371 </w:t>
      </w:r>
      <w:r w:rsidR="00000000" w:rsidRPr="00000000" w:rsidDel="00000000">
        <w:rPr>
          <w:i w:val="1"/>
          <w:rtl w:val="0"/>
        </w:rPr>
        <w:t xml:space="preserve">euro </w:t>
      </w:r>
      <w:r w:rsidR="00000000" w:rsidRPr="00000000" w:rsidDel="00000000">
        <w:rPr>
          <w:rtl w:val="0"/>
        </w:rPr>
        <w:t xml:space="preserve">apmērā, novirzīšanu valsts drošības prioritātēm, nepieciešams precizēt Noteikumus Nr.775, svītrojot 8. un 13. punktu. Tiek saglabāts Noteikumu Nr.775 10. punkts, kas nosaka pasākumam pieejamo finansējumu bez elastības finansējuma daļas 9 779 778 </w:t>
      </w:r>
      <w:r w:rsidR="00000000" w:rsidRPr="00000000" w:rsidDel="00000000">
        <w:rPr>
          <w:i w:val="1"/>
          <w:rtl w:val="0"/>
        </w:rPr>
        <w:t xml:space="preserve">euro </w:t>
      </w:r>
      <w:r w:rsidR="00000000" w:rsidRPr="00000000" w:rsidDel="00000000">
        <w:rPr>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2021.–2027. gadam noteiktas Eiropas Reģionālās attīstības fonda finansējuma sadalījums pa intervences kodiem, atbilstoši MK noteikumu projektā paredzētajām atbalstāmajām darbībām, ir “171 - Sadarbības uzlabošana ar partneriem gan dalībvalstī, gan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kods ir Nr. 1 - grants - 8 312 810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precizēt attiecināmās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Ekonomikas ministrijas diskusijām ar uzņēmumus pārstāvošajām organizācijām tika konstatēts, ka pilnvērtīgai sadarbības tīkla dalībnieku konkurētspējas nodrošināšanai un Latvijas tēla popularizēšanai nepieciešams papildināt sadarbības tīkla dalībnieka attiecināmās izmaksas ar stratēģiju izstrādes vai iegādes izmaksām. Precizētās attiecināmās izmaksas sniegs iespēju uzņēmumiem efektīvāk identificēt jaunus tirgus un nozares attīstības virzienus, nodrošinot precīzāku un stratēģiskāku pieeju konkurētspējas veicināšanā. Stratēģijas izstrāde vai iegāde ir būtisks elements, lai uzlabotu uzņēmumu spēju pielāgoties globālajām tendencēm un prasībām, vienlaikus veicinot Latvijas uzņēmumu atpazīstamību. Vienlaikus, lai nodrošinātu vēl plašāku sadarbības tīkla dalībniekiem pieejamo sadarbības un internacionalizācijas aktivitāšu klāstu, t.sk., sadarbības tīkla dalībnieku iesaisti starptautiskās vērtību ķēdēs, sadarbības tīkla attiecināmajās izmaksās tiek iekļautas konsultāciju un pārstāvniecības nodrošināšanas izmaksas, kas saistītas ar dalību Eiropas Savienības un NATO līmeņa sadarbības veicināšanas programmās. Ņemot vērā minēto, tiek precizēts Noteikumu Nr.775 27.2.5.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precizēt sadarbības tīkla dalībnieku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atbildībā esošajā atbalsta programmā - Ministru kabineta 2023. gada 13. jūlija noteikumi Nr.407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atbalsta intensitāte internacionalizācijas aktivitātēm ir noteikta 60% apmērā. Lai nodrošinātu vienlīdzīgu pieeju arī Noteikumu Nr.775 ietvaros nepieciešams palielināt sadarbības tīkla dalībnieku atbalsta intensitāti. Vienlaikus, pēc Ekonomikas ministrijas diskusijām ar uzņēmumus pārstāvošajām organizācijām tika konstatēts, ka, lai piesaistītu būtiskākos nozares uzņēmumus vienotam darbam uz kopēju un ambiciozāku mērķi, nepieciešams pārskatīt sadarbības tīkla dalībnieku atbalsta intensitāti. Līdz ar to, tiek precizēts Noteikumu Nr.775 36. punkts, nosakot, ka sadarbības tīkla dalībnieku atbalsta intensitāti - 60%.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precizēt izmaksu attiecināmības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Nr.775 ietvaros sadarbības tīkls plāno aktivitātes, iesaistot tajās visus vai atsevišķus sadarbības tīkla dalībniekus, un tām pakārto attiecināmās izmaksas. Sadarbības tīkla kā biedrības vai nodibinājuma organizēto aktivitāšu attiecināmās izmaksas tiek uzskatītas kā sadarbības tīkla </w:t>
      </w:r>
      <w:r w:rsidR="00000000" w:rsidRPr="00000000" w:rsidDel="00000000">
        <w:rPr>
          <w:i w:val="1"/>
          <w:rtl w:val="0"/>
        </w:rPr>
        <w:t xml:space="preserve">de minimis</w:t>
      </w:r>
      <w:r w:rsidR="00000000" w:rsidRPr="00000000" w:rsidDel="00000000">
        <w:rPr>
          <w:rtl w:val="0"/>
        </w:rPr>
        <w:t xml:space="preserve"> atbalsta apmērs. Sadarbības tīkla dalībnieki projekta ietvaros var īstenot aktivitātes arī bez sadarbības tīkla iesaistes, kā piemēram, dalība izstādē. Minētajā situācijā konkrētajam sadarbības tīkla dalībnieku lokam (viens vai vairāki) izmaksas tiek uzskatītas kā sadarbības tīkla dalībnieka </w:t>
      </w:r>
      <w:r w:rsidR="00000000" w:rsidRPr="00000000" w:rsidDel="00000000">
        <w:rPr>
          <w:i w:val="1"/>
          <w:rtl w:val="0"/>
        </w:rPr>
        <w:t xml:space="preserve">de minimis</w:t>
      </w:r>
      <w:r w:rsidR="00000000" w:rsidRPr="00000000" w:rsidDel="00000000">
        <w:rPr>
          <w:rtl w:val="0"/>
        </w:rPr>
        <w:t xml:space="preserve"> 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lai nodrošinātu pilnvērtīgu aktivitātes īstenošanu, sadarbības tīkla personāls (eksperti) piedalās arī sadarbības tīkla dalībnieku īstenotajās aktivitātes. Proti, sadarbības tīkla eksperti nepārstāv sadarbības tīklu kā biedrību, bet nodrošina sadarbības tīkla dalībnieku īstenoto darbību pilnvērtīgu norisi un sniedz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Noteikumi Nr.775 tiek papildināti ar 32.</w:t>
      </w:r>
      <w:r w:rsidR="00000000" w:rsidRPr="00000000" w:rsidDel="00000000">
        <w:rPr>
          <w:vertAlign w:val="superscript"/>
          <w:rtl w:val="0"/>
        </w:rPr>
        <w:t xml:space="preserve">1</w:t>
      </w:r>
      <w:r w:rsidR="00000000" w:rsidRPr="00000000" w:rsidDel="00000000">
        <w:rPr>
          <w:rtl w:val="0"/>
        </w:rPr>
        <w:t xml:space="preserve"> punktu, nosakot, ka sadarbības tīkla ekspertu iesaiste un pakalpojumu sniegšana sadarbības tīkla dalībnieku īstenotajās aktivitātes un no tām izrietošās attiecināmās izmaksas var tikt attiecinātas uz sadarbības tīkla dalībnieka </w:t>
      </w:r>
      <w:r w:rsidR="00000000" w:rsidRPr="00000000" w:rsidDel="00000000">
        <w:rPr>
          <w:i w:val="1"/>
          <w:rtl w:val="0"/>
        </w:rPr>
        <w:t xml:space="preserve">de minimis</w:t>
      </w:r>
      <w:r w:rsidR="00000000" w:rsidRPr="00000000" w:rsidDel="00000000">
        <w:rPr>
          <w:rtl w:val="0"/>
        </w:rPr>
        <w:t xml:space="preserve"> atbalsta apmēru, ja sadarbības tīkla dalībnieks to rakstiski saskaņo. Uz sadarbības tīkla dalībnieku var tikt attiecinātas Noteikumu Nr.775 27.1.4., 27.1.5., 27.1.6., 27.1.7., 27.1.9., 27.1.10., 27.1.11. apakšpunktā minētās izmaksas, kā arī 27.1.8. apakšpunkta izmaksas, kas attiecināmas uz 27.2.2. apakšpunktu un 27.1.12. apakšpunkta izmaksas, kas attiecināmas uz 27.2.3.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sadarbības tīkla eksperti iesaistās un sniedz pakalpojumus vienlaikus vairākiem sadarbības tīkla dalībniekiem, </w:t>
      </w:r>
      <w:r w:rsidR="00000000" w:rsidRPr="00000000" w:rsidDel="00000000">
        <w:rPr>
          <w:i w:val="1"/>
          <w:rtl w:val="0"/>
        </w:rPr>
        <w:t xml:space="preserve">de minimis</w:t>
      </w:r>
      <w:r w:rsidR="00000000" w:rsidRPr="00000000" w:rsidDel="00000000">
        <w:rPr>
          <w:rtl w:val="0"/>
        </w:rPr>
        <w:t xml:space="preserve"> atbalsta apmērs var tikt uzskatīts vairākiem sadarbības tīkla dalībniekiem, to proporcionāli sadalot, atbilstoši sadarbības tīkla dalībnieku skaitam, kas īstenojuši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pārņemt NACE 2.1.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dažādu valstu statistika būtu salīdzināma Eiropas Savienībā (ES) pastāv divas klasifikācijas sistēmas – 2010. gada Eiropas Kontu sistēmu (EKS2010) un ES Saimniecisko darbību statistiskā klasifikācija jeb NACE, – saskaņā ar kurām iespējams klasificēt institucionālās vienības un tautsaimniecības sektorus.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2.red. klasifikācija tika izstrādāta un apstiprināta ar 2006. gada 20. decembra Eiropas Parlamenta un Padomes regulu (EK) Nr. 1893/2006, ar ko izveido NACE 2. red. saimniecisko darbību statistisko klasifikāciju, kā arī groza Padomes Regulu (EEK) Nr. 3037/90 un dažas EK regulas par īpašām statistikas jomām, kas 2024. gada 31. decembrī beidza savu darbību. No 2025. gada 1. janvāra NACE 2. red. tika atjaunināta, lai ņemtu vērā tehnoloģiju un ekonomikas attīstību un nodrošinātu tās saskaņotību ar citām ekonomiskajām un sociālajām klasifikācijām, kā rezultātā spēkā stājās NACE 2.1. redakcija, kas izklāstīta Komisijas deleģētajā (ES) 2022. gada 10 oktobra Regulā Nr. 2023/137, ar kuru groza Regulu (EK) Nr. 1893/2006, ar ko izveido saimniecisko darbību statistisko klasifikāciju. Ņemot vērā minēto, tiek precizēts Noteikumu Nr.775 17.7., 56.2., 56.3., 56.4., 56.5., 56.6. un 56.7.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grozījumi: Svītrot Noteikumu Nr.775 27.2.4. apakšpunktu un iekļaut to, kā atsauci pie Noteikumu Nr.775 27.2.5. punkta. Līdz ar šiem precizējumiem netiek mainīts sadarbības tīkla dalībnieku attiecināmo izmaksu tvērums.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iesniedzējiem projekta īstenošanas gaitā būs iespēja pārskatīt plānotās aktivitātes un attiecināmās izmaksas, iekļaujot stratēģiju izstrādes vai iegādes izmaksas, ja tas būs nepieciešams veiksmīgai projekta īstenošanai, projekta ietvaros plānotā publiskā finansējuma ietvaros, to nepalielinot. NACE 2.1. redakcijas pārņemšana MK noteikumu projektā neietekmē projektu atlases nolikumu. Atbilstoši sadarbības tīkla dalībnieku atbalsta intensitātes palielināšanai, projektu iesniegumu vērtēšanas procesā vai projektu īstenošanas laikā, finansējuma saņēmējiem būs iespēja samazināt projektos plānoto gala labuma guvēju privāto līdzfinansējumu, samazinot to. Lai nodrošinātu informācijas pieejamību un vienādus nosacījumus visiem projektu iesniedzējiem, Ekonomikas ministrija informēs finansējuma saņēmējus par aktuālajiem atbalsta programmas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2024. gada 31. oktobra Eiropas Savienības fondu tematiskās komitejas sēdē tika atbalstīts priekšlikums par 1.2.1.1. pasākuma otrās kārtas elastības finansējuma novirzīšana uz citiem prioritārajiem mērķiem, elastības finansējums 1 831 371 </w:t>
      </w:r>
      <w:r w:rsidR="00000000" w:rsidRPr="00000000" w:rsidDel="00000000">
        <w:rPr>
          <w:i w:val="1"/>
          <w:rtl w:val="0"/>
        </w:rPr>
        <w:t xml:space="preserve">euro </w:t>
      </w:r>
      <w:r w:rsidR="00000000" w:rsidRPr="00000000" w:rsidDel="00000000">
        <w:rPr>
          <w:rtl w:val="0"/>
        </w:rPr>
        <w:t xml:space="preserve">apmērā tika nodrošināts prioritārajam mērķim -  valsts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Nr.775 ietvaros pieejamais kopējais attiecināmais finansējums  pēc elastības finansējuma pārdales ir 9 779 778 </w:t>
      </w:r>
      <w:r w:rsidR="00000000" w:rsidRPr="00000000" w:rsidDel="00000000">
        <w:rPr>
          <w:i w:val="1"/>
          <w:rtl w:val="0"/>
        </w:rPr>
        <w:t xml:space="preserve">euro</w:t>
      </w:r>
      <w:r w:rsidR="00000000" w:rsidRPr="00000000" w:rsidDel="00000000">
        <w:rPr>
          <w:rtl w:val="0"/>
        </w:rPr>
        <w:t xml:space="preserve">, tai skaitā Eiropas sociālā fonda Plus finansējums – 8 312 810 </w:t>
      </w:r>
      <w:r w:rsidR="00000000" w:rsidRPr="00000000" w:rsidDel="00000000">
        <w:rPr>
          <w:i w:val="1"/>
          <w:rtl w:val="0"/>
        </w:rPr>
        <w:t xml:space="preserve">euro </w:t>
      </w:r>
      <w:r w:rsidR="00000000" w:rsidRPr="00000000" w:rsidDel="00000000">
        <w:rPr>
          <w:rtl w:val="0"/>
        </w:rPr>
        <w:t xml:space="preserve">un valsts budžeta līdzfinansējums – 1 466 968 </w:t>
      </w:r>
      <w:r w:rsidR="00000000" w:rsidRPr="00000000" w:rsidDel="00000000">
        <w:rPr>
          <w:i w:val="1"/>
          <w:rtl w:val="0"/>
        </w:rPr>
        <w:t xml:space="preserve">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elastības finansējuma samazinājums neietekmē Noteikumu Nr.775 ietvaros kopējo pieejamā finansējuma apmēru un finansējuma izlietojums pa gadiem paliek nemainīgs.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Tiesību aktu portālā (08.02.2025-22.02.2025)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radīt papildus administratīvo slogu.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25-TA-163</w:t>
    </w:r>
    <w:r>
      <w:br/>
    </w:r>
    <w:r w:rsidR="00000000" w:rsidRPr="00000000" w:rsidDel="00000000">
      <w:rPr>
        <w:rtl w:val="0"/>
      </w:rPr>
      <w:t xml:space="preserve">Izdrukāts 29.07.2026. 22.23 - 4.0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25-TA-163</w:t>
    </w:r>
    <w:r>
      <w:br/>
    </w:r>
    <w:r w:rsidR="00000000" w:rsidRPr="00000000" w:rsidDel="00000000">
      <w:rPr>
        <w:rtl w:val="0"/>
      </w:rPr>
      <w:t xml:space="preserve">Izdrukāts 29.07.2026. 22.23 - 4.0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anotācija_(ex_ante)_25-TA-163.docx</dc:title>
</cp:coreProperties>
</file>

<file path=docProps/custom.xml><?xml version="1.0" encoding="utf-8"?>
<Properties xmlns="http://schemas.openxmlformats.org/officeDocument/2006/custom-properties" xmlns:vt="http://schemas.openxmlformats.org/officeDocument/2006/docPropsVTypes"/>
</file>