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20. janvāra noteikumos Nr. 54 "Dekoratīvo augu pavairojamā materiāla atbilstības kritēriji un aprites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stājusies Komisijas 2022. gada 12. decembra Īstenošanas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 (turpmāk –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papildināt ar Eiropas Savienībā reglamentētiem nekarantīnas organismiem (turpmāk – RNKO) (</w:t>
      </w:r>
      <w:r w:rsidR="00000000" w:rsidRPr="00000000" w:rsidDel="00000000">
        <w:rPr>
          <w:i w:val="1"/>
          <w:rtl w:val="0"/>
        </w:rPr>
        <w:t xml:space="preserve">Pseudomonas syringae</w:t>
      </w:r>
      <w:r w:rsidR="00000000" w:rsidRPr="00000000" w:rsidDel="00000000">
        <w:rPr>
          <w:rtl w:val="0"/>
        </w:rPr>
        <w:t xml:space="preserve"> pv. </w:t>
      </w:r>
      <w:r w:rsidR="00000000" w:rsidRPr="00000000" w:rsidDel="00000000">
        <w:rPr>
          <w:i w:val="1"/>
          <w:rtl w:val="0"/>
        </w:rPr>
        <w:t xml:space="preserve">actinidiae</w:t>
      </w:r>
      <w:r w:rsidR="00000000" w:rsidRPr="00000000" w:rsidDel="00000000">
        <w:rPr>
          <w:rtl w:val="0"/>
        </w:rPr>
        <w:t xml:space="preserve"> Takikawa, Serizawa, Ichikawa, Tsuyumu &amp; Goto un </w:t>
      </w:r>
      <w:r w:rsidR="00000000" w:rsidRPr="00000000" w:rsidDel="00000000">
        <w:rPr>
          <w:i w:val="1"/>
          <w:rtl w:val="0"/>
        </w:rPr>
        <w:t xml:space="preserve">Phytophthora ramorum</w:t>
      </w:r>
      <w:r w:rsidR="00000000" w:rsidRPr="00000000" w:rsidDel="00000000">
        <w:rPr>
          <w:rtl w:val="0"/>
        </w:rPr>
        <w:t xml:space="preserve"> (izolāti, kas sastopami Eiropas Savienībā (turpmāk – ES)) Werres, De Cock &amp; Man in 't Veld) un dekoratīvo augu sugām, kas ir šo kaitīgo organismu saimniekaugi.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2009. gada 20. janvāra noteikumi Nr. 54 "Dekoratīvo augu pavairojamā materiāla atbilstības kritēriji un aprites kārtība"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jāpapildina ar direktīvā noteiktajiem RNKO. Lai dekoratīvo augu sugu saraksts būtu pilnīgs un tajā tiktu iekļautas sugas, kurām nepieciešams uzraudzīt augu veselību, noteikumi ir jāpapildina, tajos ietverot dekoratīvo augu sugu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prasības, sagatavojams Ministru kabineta noteikumu projekts "Grozījumi Ministru kabineta 2009. gada 20. janvāra noteikumos Nr. 54 "Dekoratīvo augu pavairojamā materiāla atbilstības kritēriji un aprites kārtība""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noteic, ka attiecīgām dekoratīvo augu ģintīm un sugām ir RNKO. Lai audzētājs vai izplatītājs turpmāk ievērotu noteikto dekoratīvo augu sugu un ģinšu augu veselības prasības, nepieciešams papildināt noteikumus. Papildinot noteikumu 1. pielikumu ar jaunām sugām un ģintīm, audzētājam vai izplatītājam būs jānodrošina dekoratīvo augu atbilstība kvalitātes un augu veselības kritērijiem, kā arī jāievēro noteikumos noteiktā aprites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(noteikumu projekta 2. punkts), kurā dots dekoratīvo augu ģinšu un sugu saraksts, tiek papildināts ar šādām sugām: akmensozols </w:t>
      </w:r>
      <w:r w:rsidR="00000000" w:rsidRPr="00000000" w:rsidDel="00000000">
        <w:rPr>
          <w:i w:val="1"/>
          <w:rtl w:val="0"/>
        </w:rPr>
        <w:t xml:space="preserve">Quercus ilex</w:t>
      </w:r>
      <w:r w:rsidR="00000000" w:rsidRPr="00000000" w:rsidDel="00000000">
        <w:rPr>
          <w:rtl w:val="0"/>
        </w:rPr>
        <w:t xml:space="preserve"> L., Austrijas ozols </w:t>
      </w:r>
      <w:r w:rsidR="00000000" w:rsidRPr="00000000" w:rsidDel="00000000">
        <w:rPr>
          <w:i w:val="1"/>
          <w:rtl w:val="0"/>
        </w:rPr>
        <w:t xml:space="preserve">Quercus cerris</w:t>
      </w:r>
      <w:r w:rsidR="00000000" w:rsidRPr="00000000" w:rsidDel="00000000">
        <w:rPr>
          <w:rtl w:val="0"/>
        </w:rPr>
        <w:t xml:space="preserve"> L., sarkanais ozols </w:t>
      </w:r>
      <w:r w:rsidR="00000000" w:rsidRPr="00000000" w:rsidDel="00000000">
        <w:rPr>
          <w:i w:val="1"/>
          <w:rtl w:val="0"/>
        </w:rPr>
        <w:t xml:space="preserve">Quercus rubra</w:t>
      </w:r>
      <w:r w:rsidR="00000000" w:rsidRPr="00000000" w:rsidDel="00000000">
        <w:rPr>
          <w:rtl w:val="0"/>
        </w:rPr>
        <w:t xml:space="preserve"> L., aktinīdija </w:t>
      </w:r>
      <w:r w:rsidR="00000000" w:rsidRPr="00000000" w:rsidDel="00000000">
        <w:rPr>
          <w:i w:val="1"/>
          <w:rtl w:val="0"/>
        </w:rPr>
        <w:t xml:space="preserve">Actinidia</w:t>
      </w:r>
      <w:r w:rsidR="00000000" w:rsidRPr="00000000" w:rsidDel="00000000">
        <w:rPr>
          <w:rtl w:val="0"/>
        </w:rPr>
        <w:t xml:space="preserve"> Lindl, Eiropas lapegle </w:t>
      </w:r>
      <w:r w:rsidR="00000000" w:rsidRPr="00000000" w:rsidDel="00000000">
        <w:rPr>
          <w:i w:val="1"/>
          <w:rtl w:val="0"/>
        </w:rPr>
        <w:t xml:space="preserve">Larix decidua</w:t>
      </w:r>
      <w:r w:rsidR="00000000" w:rsidRPr="00000000" w:rsidDel="00000000">
        <w:rPr>
          <w:rtl w:val="0"/>
        </w:rPr>
        <w:t xml:space="preserve"> Mill., hibrīdā lapegle </w:t>
      </w:r>
      <w:r w:rsidR="00000000" w:rsidRPr="00000000" w:rsidDel="00000000">
        <w:rPr>
          <w:i w:val="1"/>
          <w:rtl w:val="0"/>
        </w:rPr>
        <w:t xml:space="preserve">Larix × eurolepis</w:t>
      </w:r>
      <w:r w:rsidR="00000000" w:rsidRPr="00000000" w:rsidDel="00000000">
        <w:rPr>
          <w:rtl w:val="0"/>
        </w:rPr>
        <w:t xml:space="preserve"> A. Henry, Japānas lapegle </w:t>
      </w:r>
      <w:r w:rsidR="00000000" w:rsidRPr="00000000" w:rsidDel="00000000">
        <w:rPr>
          <w:i w:val="1"/>
          <w:rtl w:val="0"/>
        </w:rPr>
        <w:t xml:space="preserve">Larix kaempferi</w:t>
      </w:r>
      <w:r w:rsidR="00000000" w:rsidRPr="00000000" w:rsidDel="00000000">
        <w:rPr>
          <w:rtl w:val="0"/>
        </w:rPr>
        <w:t xml:space="preserve"> (Lamb.) Carrière, irbenes </w:t>
      </w:r>
      <w:r w:rsidR="00000000" w:rsidRPr="00000000" w:rsidDel="00000000">
        <w:rPr>
          <w:i w:val="1"/>
          <w:rtl w:val="0"/>
        </w:rPr>
        <w:t xml:space="preserve">Viburnum</w:t>
      </w:r>
      <w:r w:rsidR="00000000" w:rsidRPr="00000000" w:rsidDel="00000000">
        <w:rPr>
          <w:rtl w:val="0"/>
        </w:rPr>
        <w:t xml:space="preserve"> L., kamēlija </w:t>
      </w:r>
      <w:r w:rsidR="00000000" w:rsidRPr="00000000" w:rsidDel="00000000">
        <w:rPr>
          <w:i w:val="1"/>
          <w:rtl w:val="0"/>
        </w:rPr>
        <w:t xml:space="preserve">Camellia</w:t>
      </w:r>
      <w:r w:rsidR="00000000" w:rsidRPr="00000000" w:rsidDel="00000000">
        <w:rPr>
          <w:rtl w:val="0"/>
        </w:rPr>
        <w:t xml:space="preserve"> L., parastais osis </w:t>
      </w:r>
      <w:r w:rsidR="00000000" w:rsidRPr="00000000" w:rsidDel="00000000">
        <w:rPr>
          <w:i w:val="1"/>
          <w:rtl w:val="0"/>
        </w:rPr>
        <w:t xml:space="preserve">Fraxinus excelsior</w:t>
      </w:r>
      <w:r w:rsidR="00000000" w:rsidRPr="00000000" w:rsidDel="00000000">
        <w:rPr>
          <w:rtl w:val="0"/>
        </w:rPr>
        <w:t xml:space="preserve"> L., rododendri  </w:t>
      </w:r>
      <w:r w:rsidR="00000000" w:rsidRPr="00000000" w:rsidDel="00000000">
        <w:rPr>
          <w:i w:val="1"/>
          <w:rtl w:val="0"/>
        </w:rPr>
        <w:t xml:space="preserve">Rhododendron L.,</w:t>
      </w:r>
      <w:r w:rsidR="00000000" w:rsidRPr="00000000" w:rsidDel="00000000">
        <w:rPr>
          <w:rtl w:val="0"/>
        </w:rPr>
        <w:t xml:space="preserve"> izņemot Simsa rododendru </w:t>
      </w:r>
      <w:r w:rsidR="00000000" w:rsidRPr="00000000" w:rsidDel="00000000">
        <w:rPr>
          <w:i w:val="1"/>
          <w:rtl w:val="0"/>
        </w:rPr>
        <w:t xml:space="preserve">R. simsii</w:t>
      </w:r>
      <w:r w:rsidR="00000000" w:rsidRPr="00000000" w:rsidDel="00000000">
        <w:rPr>
          <w:rtl w:val="0"/>
        </w:rPr>
        <w:t xml:space="preserve"> L., zaļā duglāzija </w:t>
      </w:r>
      <w:r w:rsidR="00000000" w:rsidRPr="00000000" w:rsidDel="00000000">
        <w:rPr>
          <w:i w:val="1"/>
          <w:rtl w:val="0"/>
        </w:rPr>
        <w:t xml:space="preserve">Pseudotsuga menziesii </w:t>
      </w:r>
      <w:r w:rsidR="00000000" w:rsidRPr="00000000" w:rsidDel="00000000">
        <w:rPr>
          <w:rtl w:val="0"/>
        </w:rPr>
        <w:t xml:space="preserve">(Mirb.) Franco un ēdamā kastaņa </w:t>
      </w:r>
      <w:r w:rsidR="00000000" w:rsidRPr="00000000" w:rsidDel="00000000">
        <w:rPr>
          <w:i w:val="1"/>
          <w:rtl w:val="0"/>
        </w:rPr>
        <w:t xml:space="preserve">Castanea sativa </w:t>
      </w:r>
      <w:r w:rsidR="00000000" w:rsidRPr="00000000" w:rsidDel="00000000">
        <w:rPr>
          <w:rtl w:val="0"/>
        </w:rPr>
        <w:t xml:space="preserve">Mill.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Komisijas 2019. gada 28. novembra Īstenošanas regula 2019/2072, ar ko paredz vienotus nosacījumus Eiropas Parlamenta un Padomes Regulas (ES) 2016/2031 par aizsardzības pasākumiem pret augiem kaitīgajiem organismiem īstenošanai, atceļ Komisijas Regulu (EK) Nr. 690/2008 un groza Komisijas Īstenošanas regulu (ES) 2018/2019, (turpmāk – regula) ir papildināta ar diviem jauniem RNKO – </w:t>
      </w:r>
      <w:r w:rsidR="00000000" w:rsidRPr="00000000" w:rsidDel="00000000">
        <w:rPr>
          <w:b w:val="1"/>
          <w:i w:val="1"/>
          <w:rtl w:val="0"/>
        </w:rPr>
        <w:t xml:space="preserve">Pseudomonas syringae pv. actinidiae</w:t>
      </w:r>
      <w:r w:rsidR="00000000" w:rsidRPr="00000000" w:rsidDel="00000000">
        <w:rPr>
          <w:rtl w:val="0"/>
        </w:rPr>
        <w:t xml:space="preserve"> Takikawa, Serizawa, Ichikawa, Tsuyumu &amp; Goto un </w:t>
      </w:r>
      <w:r w:rsidR="00000000" w:rsidRPr="00000000" w:rsidDel="00000000">
        <w:rPr>
          <w:b w:val="1"/>
          <w:i w:val="1"/>
          <w:rtl w:val="0"/>
        </w:rPr>
        <w:t xml:space="preserve">Phytophthora ramorum</w:t>
      </w:r>
      <w:r w:rsidR="00000000" w:rsidRPr="00000000" w:rsidDel="00000000">
        <w:rPr>
          <w:b w:val="1"/>
          <w:rtl w:val="0"/>
        </w:rPr>
        <w:t xml:space="preserve"> </w:t>
      </w:r>
      <w:r w:rsidR="00000000" w:rsidRPr="00000000" w:rsidDel="00000000">
        <w:rPr>
          <w:rtl w:val="0"/>
        </w:rPr>
        <w:t xml:space="preserve">(izolāti, kas sastopami ES) Werres, De Cock &amp; Man in 't Veld, direktīvā ir noteikts, ka nepieciešams papildināt ar attiecīgajiem RNKO arī Komisijas 1993. gada 23. jūnija Direktīvu 93/49/EEK, ar ko nosaka sarakstu ar nosacījumiem, kas jāievēro attiecībā uz dekoratīvo augu pavairošanas materiālu un dekoratīvajiem augiem saskaņā ar Padomes Direktīvu 91/682/EEK. Tas nozīmē, kā ir jāizdara arī atbilstoši grozījumi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pielikums (noteikumu projekta 3. punkts) tiek papildināts ar RNKO attiecīgajām dekoratīvo augu sugām un RNKO klātbūtnes pieļaujamajiem līmeņiem dekoratīvo augu pavairošanas materiālā.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dekoratīvo augu pavairojamā materiāla audzētājiem un tirgotājiem, kas reģistrēti Kultūraugu uzraudzības valsts informācijas sistēmas Profesionālo operatoru oficiālajā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dekoratīvo augu pavairojamā materiāla audzētājiem un tirgotājiem, kas reģistrēti Kultūraugu uzraudzības valsts informācijas sistēmas Profesionālo operatoru oficiālajā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sakārtota nozare un uzlabots normatīvais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2017. gada 7. februāra noteikumi Nr. 76 "Augļu koku un ogulāju pavairošanas materiāla atbilstības kritēriju un aprites noteikumi" (turpmāk – noteikumi Nr. 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normu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 76 tiek virzīti vienlaikus ar noteikumu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12. decembra Īstenošanas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12. decembra Īstenošanas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izdarīti grozījumi Ministru kabineta 2017. gada 7. februāra noteikumos Nr. 76 "Augļu koku un ogulāju pavairošanas materiāla atbilstības kritēriju un aprites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tiek ražots tikai augļu koku un ogulāju pavairošanas materiāla standarta materiāls un nav mainījušās prasības standarta materiāla tirdzniecībai. Tā kā arī minētā direktīva neparedz grozījumus, nav nepieciešams noteikt pārejas periodu augļu koku un ogulāju sēklu un sējeņu stādāmā materiāla tirdzniecībai.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noteiktas prasības dalībvalsts ziņošanai Komisijai par pieņemtajiem grozījumiem.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2017. gada 7. februāra noteikumos Nr. 76 "Augļu koku un ogulāju pavairošanas materiāla atbilstības kritēriju un aprites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5. punkts netiek pārņemts, jo Latvijā tiek ražots tikai augļu koku un ogulāju pavairošanas materiāla standarta materiāls un prasības standarta materiāla tirdzniecībai nav mainījušās, kopš spēkā ir stājusies Komisijas 2014. gada 15. oktobra Īstenošanas direktīva 2014/98/ES, ar ko īsteno Padomes Direktīvu 2008/90/EK attiecībā uz konkrētām prasībām, kuras noteiktas tās I pielikumā minētajām augļaugu ģintīm un sugām, konkrētām prasībām, kas jāievēro piegādātājiem, un sīki izstrādātiem noteikumiem par oficiālajām pārbaudēm (turpmāk – direktīva 2014/98/ES). Tā kā šī direktīva arī neparedz grozījumus, nav nepieciešams noteikt pārejas periodu materiāla tirdzniecībai. Direktīvas 2014/98/ES 32. pants noteic rīcības brīvību, t.i., dalībvalsts var izlemt, vai savā teritorijā laist tirgū pavairojamo materiālu, kas neatbilst šajā direktīvā noteiktajām kvalitātes un augu veselības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paredz noteikumu 2. pielikumu papildināt ar direktīvas prasībām, tajos ietverot tādus RNKP kā </w:t>
            </w:r>
            <w:r w:rsidR="00000000" w:rsidRPr="00000000" w:rsidDel="00000000">
              <w:rPr>
                <w:sz w:val="24"/>
                <w:i w:val="1"/>
                <w:rtl w:val="0"/>
              </w:rPr>
              <w:t xml:space="preserve">Pseudomonas syringae </w:t>
            </w:r>
            <w:r w:rsidR="00000000" w:rsidRPr="00000000" w:rsidDel="00000000">
              <w:rPr>
                <w:sz w:val="24"/>
                <w:rtl w:val="0"/>
              </w:rPr>
              <w:t xml:space="preserve">pv. </w:t>
            </w:r>
            <w:r w:rsidR="00000000" w:rsidRPr="00000000" w:rsidDel="00000000">
              <w:rPr>
                <w:sz w:val="24"/>
                <w:i w:val="1"/>
                <w:rtl w:val="0"/>
              </w:rPr>
              <w:t xml:space="preserve">actinidiae </w:t>
            </w:r>
            <w:r w:rsidR="00000000" w:rsidRPr="00000000" w:rsidDel="00000000">
              <w:rPr>
                <w:sz w:val="24"/>
                <w:rtl w:val="0"/>
              </w:rPr>
              <w:t xml:space="preserve">Takikawa, Serizawa, Ichikawa, Tsuyumu &amp; Goto un </w:t>
            </w:r>
            <w:r w:rsidR="00000000" w:rsidRPr="00000000" w:rsidDel="00000000">
              <w:rPr>
                <w:sz w:val="24"/>
                <w:i w:val="1"/>
                <w:rtl w:val="0"/>
              </w:rPr>
              <w:t xml:space="preserve">Phytophthora ramorum </w:t>
            </w:r>
            <w:r w:rsidR="00000000" w:rsidRPr="00000000" w:rsidDel="00000000">
              <w:rPr>
                <w:sz w:val="24"/>
                <w:rtl w:val="0"/>
              </w:rPr>
              <w:t xml:space="preserve">(izolāti, kas sastopami ES) Werres, De Cock &amp; Man in 't Veld) un dekoratīvo augu sugas, kas ir šo kaitīgo organismu saimniekaugi. Citi grozījumi 2. pielikumā netiek izdarīti. Iepriekš noteikumu 2. pielikumā pārņemtās Komisijas 2020. gada 11. februāra Īstenošanas direktīvas (ES) 2020/177, ar ko attiecībā uz augu kaitīgajiem organismiem sēklās un citā reproduktīvajā materiālā groza Padomes Direktīvas 66/401/EEK, 66/402/EEK, 68/193/EK, 2002/55/EK, 2002/56/EK un 2002/57/EK, Komisijas Direktīvas 93/49/EEK un 93/61/EEK un Īstenošanas direktīvas 2014/21/ES un 2014/98/ES, prasības netiek mainītas.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Stādu audzētāju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https://tapportals.mk.gov.lv/public_participation/20a2cf98-d20c-4294-8f9d-71b4a1c2f0a8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Nevalstiskajām organizācijām tika nosūtīta e-pasta vēstule ar informāciju par plānotajiem noteikumu grozījumiem, un tām nebija ne priekšlikumu, ne iebildumu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Dekoratīvo augu pavairojamo materiālu uzraudzībā būs jāpievērš uzmanība jaunām dekoratīvo augu sugām, kā arī jaunu RNKO izpausmju novērtējumam uz augiem.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22-TA-3262</w:t>
    </w:r>
    <w:r>
      <w:br/>
    </w:r>
    <w:r w:rsidR="00000000" w:rsidRPr="00000000" w:rsidDel="00000000">
      <w:rPr>
        <w:rtl w:val="0"/>
      </w:rPr>
      <w:t xml:space="preserve">Izdrukāts 29.07.2026. 21.36 - 5.0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22-TA-3262</w:t>
    </w:r>
    <w:r>
      <w:br/>
    </w:r>
    <w:r w:rsidR="00000000" w:rsidRPr="00000000" w:rsidDel="00000000">
      <w:rPr>
        <w:rtl w:val="0"/>
      </w:rPr>
      <w:t xml:space="preserve">Izdrukāts 29.07.2026. 21.36 - 5.0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anotācija_(ex_ante)_22-TA-3262.docx</dc:title>
</cp:coreProperties>
</file>

<file path=docProps/custom.xml><?xml version="1.0" encoding="utf-8"?>
<Properties xmlns="http://schemas.openxmlformats.org/officeDocument/2006/custom-properties" xmlns:vt="http://schemas.openxmlformats.org/officeDocument/2006/docPropsVTypes"/>
</file>