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"Liepājas simfoniskais orķestris" peļņas daļu"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pēc valsts kapitāla daļu turētāja pamatota priekšlikuma ar Ministru kabineta rīkojumu var atļaut noteikt valsts kapitālsabiedrības stratēģijā atšķirīgu prognozējamo dividendēs izmaksājamo un saņemamo peļņas daļu (procentos no prognozētās pārskata gada peļņas), nekā tas norādīts Ministru kabineta 2022.gada 25.janvāra noteikumu Nr.72 „Kārtība, kādā tiek prognozēti, noteikti un veikti maksājumi par valsts kapitāla izmantošanu” (turpmāk – Noteikumi Nr.72) 3.punktā vai citos tiesību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valsts sabiedrības ar ierobežotu atbildību „Liepājas simfoniskais orķestris” (turpmāk – kapitālsabiedrība) ikgadējās prognozējamās dividendēs izmaksājamās peļņas daļas novirzīšana kapitālsabiedrības materiāli tehniskās bāzes uzlabošanai – atbilstoši kapitālsabiedrības vidēja termiņa darbības stratēģijai 2024.-2027.gadam, lai nodrošinātu ilgtermiņa attīstību un augstvērtīgu māksliniecisko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valsts kapitālsabiedrība, kurā 100% kapitāla daļu turētāja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pamats ir simfoniskais orķestris – vecākais orķestris Baltijas valstīs. Latvijā tas aizvien ir vienīgais profesionālais orķestris ārpus galvaspilsētas un tas ir kļuvis par atpazīstamu zīmolu nozīmīgos mūzikas tirgos, gan ar mūzikas ierakstu starpniecību, gan koncertējot turnejās un festivālos. Kapitālsabiedrības stratēģiskais mērķis ir saglabāt un attīstīt nacionālo un pasaules kultūras mantojumu simfoniskās mūzikas jomā, iestudējot daudzveidīgas simfoniskās mūzikas koncertprogrammas, veidojot skaņu ierakstus, veicinot jaunradi latviešu simfoniskajā mūzikā un apgūstot starptautisko pieredzi ar ārvalstu viesmākslinieku piesaisti atskaņojumos, kā arī nodrošināt simfoniskās mūzikas pieejamību Kurzemes reģionā, lai veicinātu kultūras procesu decentralizāciju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vidēja termiņa stratēģijas projektā „Valsts sabiedrības ar ierobežotu atbildību „Liepājas simfoniskais orķestris” vidēja termiņa darbības stratēģija 2024.-2027.gadam” (turpmāk – Stratēģija) noteiktie finanšu mērķi ir pašu kapitāla rentabilitāte (2024.gadā – 3,57%, 2025.gadā – 3,57%, 2026.gadā – 3,13%, 2027.gadā – 4,19%), kopējā likviditāte (2024.gadā – 1,68%, 2025.gadā – 1,85%, 2026.gadā – 1,83%, 2027.gadā – 1,82%), naudas plūsma (2024.gadā – 2 971 </w:t>
      </w:r>
      <w:r w:rsidR="00000000" w:rsidRPr="00000000" w:rsidDel="00000000">
        <w:rPr>
          <w:i w:val="1"/>
          <w:rtl w:val="0"/>
        </w:rPr>
        <w:t xml:space="preserve">euro</w:t>
      </w:r>
      <w:r w:rsidR="00000000" w:rsidRPr="00000000" w:rsidDel="00000000">
        <w:rPr>
          <w:rtl w:val="0"/>
        </w:rPr>
        <w:t xml:space="preserve">, 2025.gadā – 18 959 </w:t>
      </w:r>
      <w:r w:rsidR="00000000" w:rsidRPr="00000000" w:rsidDel="00000000">
        <w:rPr>
          <w:i w:val="1"/>
          <w:rtl w:val="0"/>
        </w:rPr>
        <w:t xml:space="preserve">euro</w:t>
      </w:r>
      <w:r w:rsidR="00000000" w:rsidRPr="00000000" w:rsidDel="00000000">
        <w:rPr>
          <w:rtl w:val="0"/>
        </w:rPr>
        <w:t xml:space="preserve">, 2026.gadā – 2 028 </w:t>
      </w:r>
      <w:r w:rsidR="00000000" w:rsidRPr="00000000" w:rsidDel="00000000">
        <w:rPr>
          <w:i w:val="1"/>
          <w:rtl w:val="0"/>
        </w:rPr>
        <w:t xml:space="preserve">euro</w:t>
      </w:r>
      <w:r w:rsidR="00000000" w:rsidRPr="00000000" w:rsidDel="00000000">
        <w:rPr>
          <w:rtl w:val="0"/>
        </w:rPr>
        <w:t xml:space="preserve">, 2027.gadā – 16 694 </w:t>
      </w:r>
      <w:r w:rsidR="00000000" w:rsidRPr="00000000" w:rsidDel="00000000">
        <w:rPr>
          <w:i w:val="1"/>
          <w:rtl w:val="0"/>
        </w:rPr>
        <w:t xml:space="preserve">euro</w:t>
      </w:r>
      <w:r w:rsidR="00000000" w:rsidRPr="00000000" w:rsidDel="00000000">
        <w:rPr>
          <w:rtl w:val="0"/>
        </w:rPr>
        <w:t xml:space="preserve">), pašu ieņēmumu īpatsvars pret kopējiem ieņēmumiem (2024.gadā – 10,5%, 2025.gadā – 12,1%, 2026.gadā – 12,8%, 2027.gadā – 14,0%) un mārketinga un pārdošanas izdevumi, administratīvie izdevumi, procentu pieaugums ne vairāk kā 10% pret iepriekšējo gadu (2024.gadā – 6,67%, 2025.gadā – 0,43%, 2026.gadā – 3,07%, 2027.gadā – 0,65%). Kapitālsabiedrības prognozētā peļņa pirms nodokļiem Stratēģijas darbības periodā 2024.gadā – 8 145 </w:t>
      </w:r>
      <w:r w:rsidR="00000000" w:rsidRPr="00000000" w:rsidDel="00000000">
        <w:rPr>
          <w:i w:val="1"/>
          <w:rtl w:val="0"/>
        </w:rPr>
        <w:t xml:space="preserve">euro</w:t>
      </w:r>
      <w:r w:rsidR="00000000" w:rsidRPr="00000000" w:rsidDel="00000000">
        <w:rPr>
          <w:rtl w:val="0"/>
        </w:rPr>
        <w:t xml:space="preserve">, 2025.gadā – 8 445 </w:t>
      </w:r>
      <w:r w:rsidR="00000000" w:rsidRPr="00000000" w:rsidDel="00000000">
        <w:rPr>
          <w:i w:val="1"/>
          <w:rtl w:val="0"/>
        </w:rPr>
        <w:t xml:space="preserve">euro</w:t>
      </w:r>
      <w:r w:rsidR="00000000" w:rsidRPr="00000000" w:rsidDel="00000000">
        <w:rPr>
          <w:rtl w:val="0"/>
        </w:rPr>
        <w:t xml:space="preserve">, 2026.gadā – 7 645 </w:t>
      </w:r>
      <w:r w:rsidR="00000000" w:rsidRPr="00000000" w:rsidDel="00000000">
        <w:rPr>
          <w:i w:val="1"/>
          <w:rtl w:val="0"/>
        </w:rPr>
        <w:t xml:space="preserve">euro</w:t>
      </w:r>
      <w:r w:rsidR="00000000" w:rsidRPr="00000000" w:rsidDel="00000000">
        <w:rPr>
          <w:rtl w:val="0"/>
        </w:rPr>
        <w:t xml:space="preserve">, 2027.gadā – 10 635 </w:t>
      </w:r>
      <w:r w:rsidR="00000000" w:rsidRPr="00000000" w:rsidDel="00000000">
        <w:rPr>
          <w:i w:val="1"/>
          <w:rtl w:val="0"/>
        </w:rPr>
        <w:t xml:space="preserve">euro</w:t>
      </w:r>
      <w:r w:rsidR="00000000" w:rsidRPr="00000000" w:rsidDel="00000000">
        <w:rPr>
          <w:rtl w:val="0"/>
        </w:rPr>
        <w:t xml:space="preserve">. Tā kā kapitālsabiedrības darbības primārais mērķis nav peļņas gūšana, bet gan deleģēto valsts pārvaldes uzdevumu veikšana atbilstoši Kultūras institūciju likuma 23.panta otrajai daļai, kapitālsabiedrības ikgadējo prognozējamo dividendēs izmaksājamo peļņas daļu nepieciešams novirzīt kapitālsabiedrības plānotajām investīcijām – materiāli tehniskās bāzes uzlabošanai – atbilstoši kapitālsabiedrības Stratēģijai, lai nodrošinātu kapitālsabiedrības ilgtermiņa attīstību un augstvērtīgu māksliniecisko darbību, un konkrēti, mūzikas instrumentu restaurācijai un remontiem. Kapitālsabiedrības saimnieciskā darbība nav iedomājama bez augstas kvalitātes mūzikas instrumentu izmantošanas, kas būtiski ietekmē orķestra skanējumu un izpildījuma kvalitāti. Kaut arī mūsdienās daudzi vecmeistaru izgatavoti instrumenti nav zaudējuši savu skanējuma kvalitāti un tiek izmantoti kapitālsabiedrības mākslinieciskajā darbībā, lai varētu nodrošināt koncertu programmu daudzveidību, kapitālsabiedrībai ir nepieciešami līdzekļi, lai uzturētu esošos mūzikas instrumentus labā tehniskā stāvoklī. Kultūras ministrija nodrošina kapitālsabiedrību ar nepieciešamiem mūzikas instrumentu uzturēšanas materiāliem, bet netiek segti lielās mūzikas instrumentu apkopes un restaurācijas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2022. un 2023.gada darbību raksturojošie finanšu rādītāji: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02"/>
        <w:gridCol w:w="3083"/>
        <w:gridCol w:w="2905"/>
        <w:tblGridChange w:id="0">
          <w:tblGrid>
            <w:gridCol w:w="3202"/>
            <w:gridCol w:w="3083"/>
            <w:gridCol w:w="29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Fakts 2022. pārskata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Fakts 2023. pārskata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Neto apgrozījums,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380 486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Bilances kopsumma,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599 485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628 357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kapitāls, </w:t>
            </w:r>
            <w:r w:rsidR="00000000" w:rsidRPr="00000000" w:rsidDel="00000000">
              <w:rPr>
                <w:sz w:val="24"/>
                <w:i w:val="1"/>
                <w:rtl w:val="0"/>
              </w:rPr>
              <w:t xml:space="preserve">euro</w:t>
            </w:r>
            <w:r w:rsidR="00000000" w:rsidRPr="00000000" w:rsidDel="00000000">
              <w:rPr>
                <w:sz w:val="24"/>
                <w:rtl w:val="0"/>
              </w:rPr>
              <w:t xml:space="preserve">, tai skaitā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256 819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216 558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Pamatkapitāls,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210 312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Iepriekšējo gadu nesadalītā peļņa vai nesegtie zaudējumi,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- 33 506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Pārskata gada peļņa,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10 947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kapitāla atdeve (ROE),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likviditātes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Saistības pret pašu kapitālu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Pamatdarbības naudas plūsma,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75 805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19 457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dotācija,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2 196 288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2 261 771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3.1.apakšpunktu minimālā dividendēs izmaksājamā peļņas daļa valsts kapitālsabiedrībām, publiski privātajām kapitālsabiedrībām un publiskas personas kontrolētām kapitālsabiedrībām, kurās valsts ir dalībnieks (akcionārs), ir 64% no kapitālsabiedrības pārskata gada peļņas, ja atbilstoši Noteikumu Nr.72 II nodaļai kapitālsabiedrības vidēja termiņa darbības stratēģijā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28.panta pirmajā daļā noteikts, ka prognozējamo peļņas daļu, kas izmaksājama dividendēs, un dividendēs izmaksājamo peļņas daļu nosaka, pamatojoties uz kapitālsabiedrības vidēja termiņa darbības stratēģiju, tajā noteiktajiem kapitālsabiedrības mērķiem un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Nr.72 6.punkts nosaka, ka Ministru kabinets pēc valsts kapitāla daļu turētāja pamatota priekšlikuma ar Ministru kabineta rīkojumu var atļaut noteikt stratēģijā atšķirīgu prognozējamo dividendēs izmaksājamo un saņemamo peļņas daļu (procentos no prognozētās pārskata gada peļņas), nekā tas norādīts Noteikumu Nr.72 3.punktā vai citos tiesību aktos. Noteikumu Nr.72 7.punkts nosaka, ka valsts kapitāla daļu turētājs iesniedz Ministru kabinetā Noteikumu Nr.72 6.punktā minēto Ministru kabineta rīkojuma projektu un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Kultūras ministriju un kapitālsabiedrību, pamatojoties uz Kultūras institūciju likuma 23.panta otro daļu, 2024.gada 3.janvārī noslēgts līdzdarbības līgums Nr.2.5-8-12 „Par atsevišķu valsts pārvaldes uzdevumu deleģēšanu kultūras jomā”, saskaņā ar kuru kapitālsabiedrība veic valsts deleģētus pārvaldes uzdevumus kultūras jomā, kuru ietvaros kapitālsabiedrības tiešie uzdevumi ir iestudēt daudzveidīgas un kvalitatīvas simfoniskās mūzikas koncertprogrammas, nodrošinot repertuāra plašumu, iekļaujot pasaules un Latvijas simfoniskās mūzikas vērtības un veicinot jaunradi, nodrošināt simfoniskās mūzikas mākslas popularizēšanu un pieejamību plašai Latvijas sabiedrībai, primāri – Kurzemes reģionā, sekmējot kultūras procesa decentralizāciju, ar koncertprogrammu starpniecību nodrošināt kultūrizglītības iespējas bērnu un jauniešu auditorijai, apgūt starptautisko pieredzi simfoniskās mūzikas mākslas jomā, veicinot izcilību, un nodrošināt kapitālsabiedrības finanšu, tehniskās un tehnoloģiskās darbības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tiesībām veikt intervences kultūras pakalpojumu tirgū dažādu atbalsta pasākumu veidā (granti, dotācijas, projektu finansējums, nodokļu atvieglojumi) norādāms, ka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 Papildus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saistības darbības var būt organizētas nekomerciāli un tādējādi tās ir tādas, kurām nav saimnieciska rakstura, līdz ar to publiskais finansējums, kas tām piešķirts, var nebūt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 „daļa no faktiskajām izmaksām” ir ne vairāk kā 50% no kopējiem kultūras iestādes izdevumiem (biļešu ieņēmumi, maksas pakalpojumu u.c. pašu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darbības rādītājiem kapitālsabiedrības pašu ieņēmumi no saimnieciskās darbības, tai skaitā no biļešu tirdzniecības, 2022.gadā bija 280 251 </w:t>
      </w:r>
      <w:r w:rsidR="00000000" w:rsidRPr="00000000" w:rsidDel="00000000">
        <w:rPr>
          <w:i w:val="1"/>
          <w:rtl w:val="0"/>
        </w:rPr>
        <w:t xml:space="preserve">euro</w:t>
      </w:r>
      <w:r w:rsidR="00000000" w:rsidRPr="00000000" w:rsidDel="00000000">
        <w:rPr>
          <w:rtl w:val="0"/>
        </w:rPr>
        <w:t xml:space="preserve">, kas veidoja 10,73% no kopējiem kapitālsabiedrības izdevumiem (2 611 631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bija 2 196 288 </w:t>
      </w:r>
      <w:r w:rsidR="00000000" w:rsidRPr="00000000" w:rsidDel="00000000">
        <w:rPr>
          <w:i w:val="1"/>
          <w:rtl w:val="0"/>
        </w:rPr>
        <w:t xml:space="preserve">euro</w:t>
      </w:r>
      <w:r w:rsidR="00000000" w:rsidRPr="00000000" w:rsidDel="00000000">
        <w:rPr>
          <w:rtl w:val="0"/>
        </w:rPr>
        <w:t xml:space="preserve">, faktiski izlietota un uzskaitīta kā 2022.gada ieņēmumi no valsts budžeta dotācijas 2 122 268 </w:t>
      </w:r>
      <w:r w:rsidR="00000000" w:rsidRPr="00000000" w:rsidDel="00000000">
        <w:rPr>
          <w:i w:val="1"/>
          <w:rtl w:val="0"/>
        </w:rPr>
        <w:t xml:space="preserve">euro</w:t>
      </w:r>
      <w:r w:rsidR="00000000" w:rsidRPr="00000000" w:rsidDel="00000000">
        <w:rPr>
          <w:rtl w:val="0"/>
        </w:rPr>
        <w:t xml:space="preserve"> jeb 81,26% kopējiem kapitālsabiedrības izdevumiem kultūras pakalpojumu pieejamības nodrošināšanā. Saskaņā ar 2023.gada darbības rādītājiem kapitālsabiedrības pašu ieņēmumi no saimnieciskās darbības (jeb neto apgrozījums), tai skaitā no biļešu tirdzniecības bija 380 486 </w:t>
      </w:r>
      <w:r w:rsidR="00000000" w:rsidRPr="00000000" w:rsidDel="00000000">
        <w:rPr>
          <w:i w:val="1"/>
          <w:rtl w:val="0"/>
        </w:rPr>
        <w:t xml:space="preserve">euro</w:t>
      </w:r>
      <w:r w:rsidR="00000000" w:rsidRPr="00000000" w:rsidDel="00000000">
        <w:rPr>
          <w:rtl w:val="0"/>
        </w:rPr>
        <w:t xml:space="preserve">, kas veidoja 13,5% no kopējiem kapitālsabiedrības izdevumiem (2 814 127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bija 2 210 563 </w:t>
      </w:r>
      <w:r w:rsidR="00000000" w:rsidRPr="00000000" w:rsidDel="00000000">
        <w:rPr>
          <w:i w:val="1"/>
          <w:rtl w:val="0"/>
        </w:rPr>
        <w:t xml:space="preserve">euro</w:t>
      </w:r>
      <w:r w:rsidR="00000000" w:rsidRPr="00000000" w:rsidDel="00000000">
        <w:rPr>
          <w:rtl w:val="0"/>
        </w:rPr>
        <w:t xml:space="preserve"> un mērķfinansējums 51 208 </w:t>
      </w:r>
      <w:r w:rsidR="00000000" w:rsidRPr="00000000" w:rsidDel="00000000">
        <w:rPr>
          <w:i w:val="1"/>
          <w:rtl w:val="0"/>
        </w:rPr>
        <w:t xml:space="preserve">euro</w:t>
      </w:r>
      <w:r w:rsidR="00000000" w:rsidRPr="00000000" w:rsidDel="00000000">
        <w:rPr>
          <w:rtl w:val="0"/>
        </w:rPr>
        <w:t xml:space="preserve"> – 2022.gada peļņas izlietojums plānoto ieguldījumu veikšanai tehniskās un tehnoloģiskās darbības ilgtspējas nodrošināšanai, faktiski izlietota un uzskaitīta kā 2023.gada ieņēmumi no valsts budžeta dotācijas 2 210 563 </w:t>
      </w:r>
      <w:r w:rsidR="00000000" w:rsidRPr="00000000" w:rsidDel="00000000">
        <w:rPr>
          <w:i w:val="1"/>
          <w:rtl w:val="0"/>
        </w:rPr>
        <w:t xml:space="preserve">euro</w:t>
      </w:r>
      <w:r w:rsidR="00000000" w:rsidRPr="00000000" w:rsidDel="00000000">
        <w:rPr>
          <w:rtl w:val="0"/>
        </w:rPr>
        <w:t xml:space="preserve"> jeb 78,55% no kopējiem kapitālsabiedrības izdevumiem kultūras pakalpojumu pieejamības nodrošināšanā. Ņemot vērā to, ka pašu ieņēmumi no saimnieciskās darbības, tai skaitā no biļešu tirdzniecības, 2023.gadā nepārsniedza 50% no izdevumiem un ieņēmumu dinamika 2024.gadā liecina, ka ieņēmumi no saimnieciskās darbības, tai skaitā no biļešu tirdzniecības, 2024.gadā arī nepārsniegs 50% no izdevumiem, secināms, ka pasākumam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darbība pārsvarā aptver Kurzemes, kā arī pārējos Latvijas reģionus, kur tiek atskaņota gan latviešu, gan arī citu valstu komponistu sacerētā mūzika. Lai arī simfoniskā mūzika ir saprotama jebkurā valodā runājošam klausītājam, tomēr kapitālsabiedrības koncertu mērķauditorija ir Latvijas iedzīvotāji. Koncerti netiek reklamēti ārvalstīs un tie nepiesaista ievērojamu skaitu skatītāju no citām Eiropas Savienības dalībvalstīm, līdz ar to kapitālsabiedrībai piešķirtais valsts finansējums nevar ietekmēt tirdzniecību starp dalībvalstīm un konkurenci, un šim atbalsta pasākumam (t.i., dotācijai no valsts pamatbudžeta) ir vienīgi vietēja mēroga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kapitālsabiedrības ieņēmumi no saimnieciskās darbības 2023.gadā nepārsniedza 50% no izdevumiem un 2024.gadā arī to nepārsniegs, kā arī to, ka nepastāv ietekme uz tirdzniecību un konkurenci starp citām Eiropas Savienības dalībvalstīm, pasākums nekvalificējas kā komercdarbības atbalsts un komercdarbības atbalstu regulējošās tiesību normas nav jāpiemēro.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7.3.1.1.apakšpunktu, ņemot vērā kapitālsabiedrības nepieciešamību veikt kapitālsabiedrības rīcībā esošo mūzikas instrumentu restaurāciju un remontu, līdzekļi, ko kapitālsabiedrība spēj piesaistīt pašu spēkiem, vidējā termiņa darbības ietvaros ir jāsaglabā kapitālsabiedrības rīcībā kapitālsabiedrības materiāli tehniskās bāzes uzlabošanai atbilstoši Stratēģijai. Lai nodrošinātu ilgtermiņa attīstību un augstvērtīgu māksliniecisko darbību, kapitālsabiedrībai ir nepieciešami ieguldījumi mūzikas instrumentu restaurācijai un remontam, un konkrēti, 2024.gadā 7 006 </w:t>
      </w:r>
      <w:r w:rsidR="00000000" w:rsidRPr="00000000" w:rsidDel="00000000">
        <w:rPr>
          <w:i w:val="1"/>
          <w:rtl w:val="0"/>
        </w:rPr>
        <w:t xml:space="preserve">euro</w:t>
      </w:r>
      <w:r w:rsidR="00000000" w:rsidRPr="00000000" w:rsidDel="00000000">
        <w:rPr>
          <w:rtl w:val="0"/>
        </w:rPr>
        <w:t xml:space="preserve">, 2025.gadā 5 213 </w:t>
      </w:r>
      <w:r w:rsidR="00000000" w:rsidRPr="00000000" w:rsidDel="00000000">
        <w:rPr>
          <w:i w:val="1"/>
          <w:rtl w:val="0"/>
        </w:rPr>
        <w:t xml:space="preserve">euro</w:t>
      </w:r>
      <w:r w:rsidR="00000000" w:rsidRPr="00000000" w:rsidDel="00000000">
        <w:rPr>
          <w:rtl w:val="0"/>
        </w:rPr>
        <w:t xml:space="preserve">, 2026.gadā 5 405 </w:t>
      </w:r>
      <w:r w:rsidR="00000000" w:rsidRPr="00000000" w:rsidDel="00000000">
        <w:rPr>
          <w:i w:val="1"/>
          <w:rtl w:val="0"/>
        </w:rPr>
        <w:t xml:space="preserve">euro</w:t>
      </w:r>
      <w:r w:rsidR="00000000" w:rsidRPr="00000000" w:rsidDel="00000000">
        <w:rPr>
          <w:rtl w:val="0"/>
        </w:rPr>
        <w:t xml:space="preserve"> un 2027.gadā 4 893 </w:t>
      </w:r>
      <w:r w:rsidR="00000000" w:rsidRPr="00000000" w:rsidDel="00000000">
        <w:rPr>
          <w:i w:val="1"/>
          <w:rtl w:val="0"/>
        </w:rPr>
        <w:t xml:space="preserve">euro</w:t>
      </w:r>
      <w:r w:rsidR="00000000" w:rsidRPr="00000000" w:rsidDel="00000000">
        <w:rPr>
          <w:rtl w:val="0"/>
        </w:rPr>
        <w:t xml:space="preserve">. Gadījumā, ja kapitālsabiedrības faktiskā peļņa pārsniegs norādīto, tā tiks novirzīta mūzikas instrumentu iegādei izsolēs un izstādēs atbilstoši Stratēģijas papildu investīciju plānam par kopējo summu 100 000 </w:t>
      </w:r>
      <w:r w:rsidR="00000000" w:rsidRPr="00000000" w:rsidDel="00000000">
        <w:rPr>
          <w:i w:val="1"/>
          <w:rtl w:val="0"/>
        </w:rPr>
        <w:t xml:space="preserve">euro</w:t>
      </w:r>
      <w:r w:rsidR="00000000" w:rsidRPr="00000000" w:rsidDel="00000000">
        <w:rPr>
          <w:rtl w:val="0"/>
        </w:rPr>
        <w:t xml:space="preserve"> (2024.gadā 25 000 </w:t>
      </w:r>
      <w:r w:rsidR="00000000" w:rsidRPr="00000000" w:rsidDel="00000000">
        <w:rPr>
          <w:i w:val="1"/>
          <w:rtl w:val="0"/>
        </w:rPr>
        <w:t xml:space="preserve">euro</w:t>
      </w:r>
      <w:r w:rsidR="00000000" w:rsidRPr="00000000" w:rsidDel="00000000">
        <w:rPr>
          <w:rtl w:val="0"/>
        </w:rPr>
        <w:t xml:space="preserve">, 2025.gadā 25 000 </w:t>
      </w:r>
      <w:r w:rsidR="00000000" w:rsidRPr="00000000" w:rsidDel="00000000">
        <w:rPr>
          <w:i w:val="1"/>
          <w:rtl w:val="0"/>
        </w:rPr>
        <w:t xml:space="preserve">euro</w:t>
      </w:r>
      <w:r w:rsidR="00000000" w:rsidRPr="00000000" w:rsidDel="00000000">
        <w:rPr>
          <w:rtl w:val="0"/>
        </w:rPr>
        <w:t xml:space="preserve">, 2026.gadā 25 000 </w:t>
      </w:r>
      <w:r w:rsidR="00000000" w:rsidRPr="00000000" w:rsidDel="00000000">
        <w:rPr>
          <w:i w:val="1"/>
          <w:rtl w:val="0"/>
        </w:rPr>
        <w:t xml:space="preserve">euro</w:t>
      </w:r>
      <w:r w:rsidR="00000000" w:rsidRPr="00000000" w:rsidDel="00000000">
        <w:rPr>
          <w:rtl w:val="0"/>
        </w:rPr>
        <w:t xml:space="preserve"> un 2027.gadā 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kapitālsabiedrība spētu īstenot Stratēģijā noteiktos mērķus, ir nepieciešams veikt regulārus ieguldījumus kapitālsabiedrības materiāli tehniskās bāzes uzlabošanai atbilstoši Stratēģijai, lai nodrošinātu ilgtermiņa attīstību un augstvērtīgu māksliniecisko darbību, līdz ar to Kultūras ministrija ierosina Ministru kabinetam pieņemt lēmumu, ar kuru atļaut noteikt Stratēģijā atšķirīgu prognozējamo dividendēs izmaksājamo peļņas daļu 0% apmērā no prognozētās pārskata gada peļņas.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373 206 565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373 206 565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373 206 565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373 206 565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2024.gadam un budžeta ietvaru 2024., 2025. un 2026.gadam” ir plānoti ieņēmumi no dividendēm (ieņēmumi no valsts (pašvaldību) kapitāla izmantošanas) 2024.gadā 382 942 220 </w:t>
      </w:r>
      <w:r w:rsidR="00000000" w:rsidRPr="00000000" w:rsidDel="00000000">
        <w:rPr>
          <w:i w:val="1"/>
          <w:rtl w:val="0"/>
        </w:rPr>
        <w:t xml:space="preserve">euro</w:t>
      </w:r>
      <w:r w:rsidR="00000000" w:rsidRPr="00000000" w:rsidDel="00000000">
        <w:rPr>
          <w:rtl w:val="0"/>
        </w:rPr>
        <w:t xml:space="preserve">, 2025.gadā 227 707 446 </w:t>
      </w:r>
      <w:r w:rsidR="00000000" w:rsidRPr="00000000" w:rsidDel="00000000">
        <w:rPr>
          <w:i w:val="1"/>
          <w:rtl w:val="0"/>
        </w:rPr>
        <w:t xml:space="preserve">euro</w:t>
      </w:r>
      <w:r w:rsidR="00000000" w:rsidRPr="00000000" w:rsidDel="00000000">
        <w:rPr>
          <w:rtl w:val="0"/>
        </w:rPr>
        <w:t xml:space="preserve"> un 2026.gadā 205 507 447 </w:t>
      </w:r>
      <w:r w:rsidR="00000000" w:rsidRPr="00000000" w:rsidDel="00000000">
        <w:rPr>
          <w:i w:val="1"/>
          <w:rtl w:val="0"/>
        </w:rPr>
        <w:t xml:space="preserve">euro</w:t>
      </w:r>
      <w:r w:rsidR="00000000" w:rsidRPr="00000000" w:rsidDel="00000000">
        <w:rPr>
          <w:rtl w:val="0"/>
        </w:rPr>
        <w:t xml:space="preserve">. Saskaņā ar Stratēģiju, pieņemot lēmumu par atšķirīgu dividendēs izmaksājamo summu (nosakot 0% likmi), valsts budžetā četros gados kopā valsts budžets negūs ieņēmumus no dividendēm 22 517 </w:t>
      </w:r>
      <w:r w:rsidR="00000000" w:rsidRPr="00000000" w:rsidDel="00000000">
        <w:rPr>
          <w:i w:val="1"/>
          <w:rtl w:val="0"/>
        </w:rPr>
        <w:t xml:space="preserve">euro</w:t>
      </w:r>
      <w:r w:rsidR="00000000" w:rsidRPr="00000000" w:rsidDel="00000000">
        <w:rPr>
          <w:rtl w:val="0"/>
        </w:rPr>
        <w:t xml:space="preserve"> apmērā. Minētā summa paliktu kapitālsabiedrības rīcībā un tiktu novirzīta kapitālsabiedrības plānotajām investīcijām – materiāli tehniskās bāzes uzlabošanai – atbilstoši Stratēģijai, lai nodrošinātu ilgtermiņa attīstību un augstvērtīgu māksliniecisko darbību. 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dividendēs izmaksājamās peļņas daļas izlietošanas kārtību,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"Liepājas simfoniskais orķestris”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Stratēģiju, pieņemot lēmumu par atšķirīgu dividendēs izmaksājamo summu (nosakot 0% likmi), valsts budžetā četros gados kopā netiktu pārskaitīta summa 22 517 </w:t>
      </w:r>
      <w:r w:rsidR="00000000" w:rsidRPr="00000000" w:rsidDel="00000000">
        <w:rPr>
          <w:i w:val="1"/>
          <w:rtl w:val="0"/>
        </w:rPr>
        <w:t xml:space="preserve">euro</w:t>
      </w:r>
      <w:r w:rsidR="00000000" w:rsidRPr="00000000" w:rsidDel="00000000">
        <w:rPr>
          <w:rtl w:val="0"/>
        </w:rPr>
        <w:t xml:space="preserve"> apmērā. Minētā summa paliktu kapitālsabiedrības rīcībā un tiktu novirzīta kapitālsabiedrības plānotajām investīcijām – materiāli tehniskās bāzes uzlabošanai – atbilstoši Stratēģijai, lai nodrošinātu ilgtermiņa attīstību un augstvērtīgu māksliniecisko darbību.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anotācija_(ex_ante)_24-TA-85.docx</dc:title>
</cp:coreProperties>
</file>

<file path=docProps/custom.xml><?xml version="1.0" encoding="utf-8"?>
<Properties xmlns="http://schemas.openxmlformats.org/officeDocument/2006/custom-properties" xmlns:vt="http://schemas.openxmlformats.org/officeDocument/2006/docPropsVTypes"/>
</file>