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151 010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586;  2024.gadā - 694; 2025.gadā – 724;  2026.gadā – 167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36 pilsonības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71% ir krievs, 17% baltkrievs, 3% armēnis, kā arī nezināma, ebrejs, ukrainis.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50% - augstākā, 39% - vidējā, 8% - pamata, 3% - bez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36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26-TA-988</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26-TA-988</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anotācija_(ex_ante)_26-TA-988.docx</dc:title>
</cp:coreProperties>
</file>

<file path=docProps/custom.xml><?xml version="1.0" encoding="utf-8"?>
<Properties xmlns="http://schemas.openxmlformats.org/officeDocument/2006/custom-properties" xmlns:vt="http://schemas.openxmlformats.org/officeDocument/2006/docPropsVTypes"/>
</file>