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12. augusta noteikumos Nr. 461 "Prasības pārtikas kvalitātes shēmām, to ieviešanas, darbības,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Jāizdara grozījumi spēkā esošajos Ministru kabineta 2014. gada 12. augusta noteikumos Nr. 461 "Prasības pārtikas kvalitātes shēmām, to ieviešanas, darbības, uzraudzības un kontroles kārtība" (turpmāk – noteikumi Nr. 461), kuros noteiktas prasības pārtikas kvalitātes shēmām.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operatora aktuālās informācijas iesniegšanas prasības bioloģiskajā un nacionālajā pārtikas kvalitātes shēmā, lai samazinātu administratīvo slogu, un noteikt bioloģiskās shēmas operatora statusu sabiedriskās ēdināšanas uzņēmumam. Precizēt arī Nacionālās pārtikas kvalitātes shēmas (turpmāk – NPKS) prasības un noteikt kvalitātes kritērijus jaunai produktu grupai – liofilizētiem produktiem, lai veicinātu ražotāju iesaistīšanos un palielinātu ražošanas apjomu kvalitātes shēmā.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461 ietverta prasība bioloģiskās lauksaimniecības shēmas dalībniekam katru gadu ne vēlāk kā līdz 1. septembrim iesniegt bioloģiskās kontroles institūcijā apliecinājumu par dalību shēmā, norādot periodā no iepriekšējā gada 30. augusta līdz kārtējā gada 31. augustam realizēto bioloģiskās lauksaimniecības produktu nosaukumus un realizācijas vietas. Bioloģiskās lauksaimniecības  operatoram, uzsākot darbību shēmā, ir jāiesniedz izejvielu piegādātāju saraksts un reizi ceturksnī jāinformē bioloģiskās kontroles institūcija par izmaiņām tajā, bet nacionālās pārtikas kvalitātes shēmas operatoram tas jādara reizi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bioloģiskās lauksaimniecības shēmā operators ir shēmas produkta ražotājs, taču bioloģiskās kontroles institūcija apliecina arī tāda operatora statusu, kurš produktu piegādā bioloģiskās lauksaimniecības produktu pārstrādes uzņēmumam vai kooperatīvam. Nav noteikts bioloģiskās lauksaimniecības shēmas operatora statuss sabiedriskās ēdināšanas uzņēmumiem, kas ēdienu gatavošanā izmanto bioloģiskās lauksaimniecības produktus vai nu 30–60 %, vai 60–90 %, vai 90–100 % no produktu īpatsvara un ir pakļauti bioloģiskās lauksaimniecības kontroles un uzraudzības sistēmai atbilstoši normatīviem aktiem bioloģiskās lauksaimniecības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NPKS noteikts, kuram, ražojot konservus "Makrele savā sulā", jānodrošina atvēsinātu vai saldētu </w:t>
      </w:r>
      <w:r w:rsidR="00000000" w:rsidRPr="00000000" w:rsidDel="00000000">
        <w:rPr>
          <w:i w:val="1"/>
          <w:rtl w:val="0"/>
        </w:rPr>
        <w:t xml:space="preserve">Scomber scombrus</w:t>
      </w:r>
      <w:r w:rsidR="00000000" w:rsidRPr="00000000" w:rsidDel="00000000">
        <w:rPr>
          <w:rtl w:val="0"/>
        </w:rPr>
        <w:t xml:space="preserve"> sugas makreļu izmantošana, kā arī ir noteikts ierobežojums izmantot sintētiskās krāsvielas zivju barībā. Nav noteikti NPKS kvalitātes kritēriji liofilizētiem produktiem.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noteikts, ka, uzsākot darbību bioloģiskās lauksaimniecības shēmā, operators atbilstoši noteikumu 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vertAlign w:val="superscript"/>
          <w:rtl w:val="0"/>
        </w:rPr>
        <w:t xml:space="preserve"> </w:t>
      </w:r>
      <w:r w:rsidR="00000000" w:rsidRPr="00000000" w:rsidDel="00000000">
        <w:rPr>
          <w:rtl w:val="0"/>
        </w:rPr>
        <w:t xml:space="preserve">apakšpunktam bioloģiskās kontroles institūcijā rakstveidā iesniedz bioloģiskās lauksaimniecības shēmas produktu izejvielu piegādātāju sarakstu un atbilstoši 41.</w:t>
      </w:r>
      <w:r w:rsidR="00000000" w:rsidRPr="00000000" w:rsidDel="00000000">
        <w:rPr>
          <w:vertAlign w:val="superscript"/>
          <w:rtl w:val="0"/>
        </w:rPr>
        <w:t xml:space="preserve">5 </w:t>
      </w:r>
      <w:r w:rsidR="00000000" w:rsidRPr="00000000" w:rsidDel="00000000">
        <w:rPr>
          <w:rtl w:val="0"/>
        </w:rPr>
        <w:t xml:space="preserve">punktam</w:t>
      </w:r>
      <w:r w:rsidR="00000000" w:rsidRPr="00000000" w:rsidDel="00000000">
        <w:rPr>
          <w:vertAlign w:val="superscript"/>
          <w:rtl w:val="0"/>
        </w:rPr>
        <w:t xml:space="preserve"> </w:t>
      </w:r>
      <w:r w:rsidR="00000000" w:rsidRPr="00000000" w:rsidDel="00000000">
        <w:rPr>
          <w:rtl w:val="0"/>
        </w:rPr>
        <w:t xml:space="preserve">reizi ceturksnī ziņo par izmaiņām tajā. Lai samazinātu administratīvo slogu, nepieciešams precizēt bioloģiskās lauksaimniecības shēmas dalībnieka informācijas iesniegšanas datumu un periodu, par kuru informācija tiek sniegta, dodot iespēju to iesniegt līdz datumam, kad jāiesniedz bioloģiskās lauksaimniecības statistikas dati, t. i., 1. februārim. Jāprecizē arī informācija, kas iesniedzama, kad operators uzsāk darbību shēmā, nosakot, ka tiek norādīts izejvielu piegādātāju skaits.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jāprecizē 41.</w:t>
      </w:r>
      <w:r w:rsidR="00000000" w:rsidRPr="00000000" w:rsidDel="00000000">
        <w:rPr>
          <w:vertAlign w:val="superscript"/>
          <w:rtl w:val="0"/>
        </w:rPr>
        <w:t xml:space="preserve">6 </w:t>
      </w:r>
      <w:r w:rsidR="00000000" w:rsidRPr="00000000" w:rsidDel="00000000">
        <w:rPr>
          <w:rtl w:val="0"/>
        </w:rPr>
        <w:t xml:space="preserve">punkta redakcija, nosakot, ka operators katru gadu ne vēlāk kā līdz 1. februārim iesniedz bioloģiskās kontroles institūcijā apliecinājumu par dalību shēmā, norādot iepriekšējā gadā realizēto bioloģiskās lauksaimniecības produktu nosaukumus un realizācijas vietas, bet pārstrādes produktu ražotājs – izejvielu piegādātāju skaitu. Atbilstoši precizējumi izdarāmi arī 41.</w:t>
      </w:r>
      <w:r w:rsidR="00000000" w:rsidRPr="00000000" w:rsidDel="00000000">
        <w:rPr>
          <w:vertAlign w:val="superscript"/>
          <w:rtl w:val="0"/>
        </w:rPr>
        <w:t xml:space="preserve">1</w:t>
      </w:r>
      <w:r w:rsidR="00000000" w:rsidRPr="00000000" w:rsidDel="00000000">
        <w:rPr>
          <w:rtl w:val="0"/>
        </w:rPr>
        <w:t xml:space="preserve">2. apakšpunktā, un jāsvītro 41.</w:t>
      </w:r>
      <w:r w:rsidR="00000000" w:rsidRPr="00000000" w:rsidDel="00000000">
        <w:rPr>
          <w:vertAlign w:val="superscript"/>
          <w:rtl w:val="0"/>
        </w:rPr>
        <w:t xml:space="preserve">5</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noteikts, ka operators, uzsākot  darbību NPKS, atbilstoši 27.2. apakšpunktam rakstveidā iesniedz dienestā shēmas produktu izejvielu piegādātāju sarakstu un atbilstoši 39. punktam katru gadu līdz 1. jūlijam un 1. janvārim iesniedz Pārtikas un veterinārajā dienestā (turpmāk – dienests) informāciju par izmaiņām tajā. Lai samazinātu administratīvo slogu NPKS operatoram un dienestam, ir jāprecizē shēmas dalībnieka informācija par izmaiņām izejvielu piegādātāju sarakstā un iesniegšanas datums, nosakot, ka informācija jāiesniedz vienlaikus ar pārskatu par iepriekšējā gadā realizēto apjomu.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jāprecizē 39. punkts, nosakot, ka operators informāciju par izmaiņām izejvielu piegādātāju sarakstā iesniedz dienestā katru gadu līdz 1. februārim.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12. pielikuma 2.2. apakšpunktā ir noteikts ierobežojums sintētisko krāsvielu izmantošanai NPKS zivju barībā, tādēļ līdz šim NPKS nav sertificēts neviens lašveidīgo zivju produkts, jo vizuālais izskats, īpaši krāsa, ir viena no svarīgākajām pārtikas īpašībām, nosakot izvēli pirms faktiskā patēriņa. Pirkšanas lēmuma pamatā bieži vien ir tieši produkta izskats. Salīdzinot divus pārtikas produktus ar vienādu cenu un uzturvērtību, patērētājs izvēlēsies vizuāli pievilcīgāko produktu. Sintētiskais astaksantīns ir oficiāli atļauta barības piedeva Eiropas Savienībā, tostarp Latvijā, un tas plaši tiek izmantots akvakultūras nozarē, īpaši lašveidīgo zivju barībā. </w:t>
      </w:r>
      <w:r w:rsidR="00000000" w:rsidRPr="00000000" w:rsidDel="00000000">
        <w:rPr>
          <w:i w:val="1"/>
          <w:rtl w:val="0"/>
        </w:rPr>
        <w:t xml:space="preserve">ESFA </w:t>
      </w:r>
      <w:r w:rsidR="00000000" w:rsidRPr="00000000" w:rsidDel="00000000">
        <w:rPr>
          <w:rtl w:val="0"/>
        </w:rPr>
        <w:t xml:space="preserve">(Eiropas Pārtikas nekaitīguma iestāde) </w:t>
      </w:r>
      <w:r w:rsidR="00000000" w:rsidRPr="00000000" w:rsidDel="00000000">
        <w:rPr>
          <w:i w:val="1"/>
          <w:rtl w:val="0"/>
        </w:rPr>
        <w:t xml:space="preserve">FEEDAP </w:t>
      </w:r>
      <w:r w:rsidR="00000000" w:rsidRPr="00000000" w:rsidDel="00000000">
        <w:rPr>
          <w:rtl w:val="0"/>
        </w:rPr>
        <w:t xml:space="preserve">(</w:t>
      </w:r>
      <w:r w:rsidR="00000000" w:rsidRPr="00000000" w:rsidDel="00000000">
        <w:rPr>
          <w:i w:val="1"/>
          <w:rtl w:val="0"/>
        </w:rPr>
        <w:t xml:space="preserve">EFSA </w:t>
      </w:r>
      <w:r w:rsidR="00000000" w:rsidRPr="00000000" w:rsidDel="00000000">
        <w:rPr>
          <w:rtl w:val="0"/>
        </w:rPr>
        <w:t xml:space="preserve">dzīvnieku barībā izmantoto piedevu un produktu vai vielu ekspertu grupa) 2019. gadā atkārtoti izvērtēja sintētiskā astaksantīna-dimetildisukcināta (</w:t>
      </w:r>
      <w:r w:rsidR="00000000" w:rsidRPr="00000000" w:rsidDel="00000000">
        <w:rPr>
          <w:i w:val="1"/>
          <w:rtl w:val="0"/>
        </w:rPr>
        <w:t xml:space="preserve">ATX-DMDS</w:t>
      </w:r>
      <w:r w:rsidR="00000000" w:rsidRPr="00000000" w:rsidDel="00000000">
        <w:rPr>
          <w:rtl w:val="0"/>
        </w:rPr>
        <w:t xml:space="preserve">; tirdzniecības nosaukums </w:t>
      </w:r>
      <w:r w:rsidR="00000000" w:rsidRPr="00000000" w:rsidDel="00000000">
        <w:rPr>
          <w:i w:val="1"/>
          <w:rtl w:val="0"/>
        </w:rPr>
        <w:t xml:space="preserve">Carophyll® Stay-Pink 10 %-CWS</w:t>
      </w:r>
      <w:r w:rsidR="00000000" w:rsidRPr="00000000" w:rsidDel="00000000">
        <w:rPr>
          <w:rtl w:val="0"/>
        </w:rPr>
        <w:t xml:space="preserve">) lietošanu lašveidīgo, citu zivju un vēžveidīgo barībā (https://efsa.onlinelibrary.wiley.com/doi/10.2903/j.efsa.2019.5920). Pamatojoties uz toksikoloģiskajiem pētījumiem, literatūras pārskatiem un sabiedriskajā uzaicinājumā iesniegtajiem datiem, eksperti secināja, ka astaksantīns nav mutagēns, genotoksisks vai kancerogēns.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noteikta arī pieļaujamā dienas deva (</w:t>
      </w:r>
      <w:r w:rsidR="00000000" w:rsidRPr="00000000" w:rsidDel="00000000">
        <w:rPr>
          <w:i w:val="1"/>
          <w:rtl w:val="0"/>
        </w:rPr>
        <w:t xml:space="preserve">ADI</w:t>
      </w:r>
      <w:r w:rsidR="00000000" w:rsidRPr="00000000" w:rsidDel="00000000">
        <w:rPr>
          <w:rtl w:val="0"/>
        </w:rPr>
        <w:t xml:space="preserve">) cilvēkam – 0,2 mg/kg ķermeņa svara dienā, aizstājot iepriekšējo </w:t>
      </w:r>
      <w:r w:rsidR="00000000" w:rsidRPr="00000000" w:rsidDel="00000000">
        <w:rPr>
          <w:i w:val="1"/>
          <w:rtl w:val="0"/>
        </w:rPr>
        <w:t xml:space="preserve">ADI </w:t>
      </w:r>
      <w:r w:rsidR="00000000" w:rsidRPr="00000000" w:rsidDel="00000000">
        <w:rPr>
          <w:rtl w:val="0"/>
        </w:rPr>
        <w:t xml:space="preserve">0,034 mg/kg (2014.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w:t>
      </w:r>
      <w:r w:rsidR="00000000" w:rsidRPr="00000000" w:rsidDel="00000000">
        <w:rPr>
          <w:i w:val="1"/>
          <w:rtl w:val="0"/>
        </w:rPr>
        <w:t xml:space="preserve">ADI </w:t>
      </w:r>
      <w:r w:rsidR="00000000" w:rsidRPr="00000000" w:rsidDel="00000000">
        <w:rPr>
          <w:rtl w:val="0"/>
        </w:rPr>
        <w:t xml:space="preserve">ir aprēķināta, piemērojot drošības koeficientu 200 </w:t>
      </w:r>
      <w:r w:rsidR="00000000" w:rsidRPr="00000000" w:rsidDel="00000000">
        <w:rPr>
          <w:i w:val="1"/>
          <w:rtl w:val="0"/>
        </w:rPr>
        <w:t xml:space="preserve">LOAEL </w:t>
      </w:r>
      <w:r w:rsidR="00000000" w:rsidRPr="00000000" w:rsidDel="00000000">
        <w:rPr>
          <w:rtl w:val="0"/>
        </w:rPr>
        <w:t xml:space="preserve">40 mg/kg ķermeņa svara dienā (pamatojoties uz novērotu palielinātu daudzkodolu hepatocītu daudzumu divus gadus ilgā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Lietojot sintētisko astaksantīnu zivju un vēžveidīgo barībā līdz 100 mg/kg pilnvērtīgas barības, netiek pārsniegta </w:t>
      </w:r>
      <w:r w:rsidR="00000000" w:rsidRPr="00000000" w:rsidDel="00000000">
        <w:rPr>
          <w:i w:val="1"/>
          <w:rtl w:val="0"/>
        </w:rPr>
        <w:t xml:space="preserve">ADI </w:t>
      </w:r>
      <w:r w:rsidR="00000000" w:rsidRPr="00000000" w:rsidDel="00000000">
        <w:rPr>
          <w:rtl w:val="0"/>
        </w:rPr>
        <w:t xml:space="preserve">un nav pamata bažām par patērētāju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EFSA FEEDAP </w:t>
      </w:r>
      <w:r w:rsidR="00000000" w:rsidRPr="00000000" w:rsidDel="00000000">
        <w:rPr>
          <w:rtl w:val="0"/>
        </w:rPr>
        <w:t xml:space="preserve">grupa atkārtoti uzsvēra, ka šāds lietošanas līmenis nerada bažas par patērētāju drošību, tostarp forelēm un lašiem, un apstiprināja līdzīgus secinājumus arī iepriekšējā izvērtējumā 2014.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dotu iespēju Latvijas akvakultūras nozares ražotājiem, kas vēlas pieteikt savu lašveidīgo zivju produkciju nacionālajai pārtikas kvalitātes shēmai, vienlaikus neapdraudot patērētāju veselību vai pārtikas nekaitīgumu, un ļautu līdzvērtīgi konkurēt ar citu valstu audzētājiem, kuru konvencionālajās pārtikas kvalitātes shēmās nepastāv šāds ierobežojums, ir jāatceļ aizliegums lašveidīgo zivju audzētājiem izmantot astaksantīnu.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12. pielikuma 2.2. apakšpunkts precizēts, nosakot izņēmumu lašveidīgo zivju audzētājiem attiecībā uz zivju barībā izmantojamo krāsvielu astaksantīnu.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12. pielikuma 19.2. apakšpunktā ir noteikts, ka nacionālajā pārtikas kvalitātes shēmā zivju konservu "Makreles savā sulā" pagatavošanā tiek izmantotas atvēsinātas vai saldētas makreles </w:t>
      </w:r>
      <w:r w:rsidR="00000000" w:rsidRPr="00000000" w:rsidDel="00000000">
        <w:rPr>
          <w:i w:val="1"/>
          <w:rtl w:val="0"/>
        </w:rPr>
        <w:t xml:space="preserve">Scomber scombrus</w:t>
      </w:r>
      <w:r w:rsidR="00000000" w:rsidRPr="00000000" w:rsidDel="00000000">
        <w:rPr>
          <w:rtl w:val="0"/>
        </w:rPr>
        <w:t xml:space="preserve">. Lai paplašinātu shēmas dalībnieku skaitu un ražošanas apjomu, ko pašlaik nosaka limitētie izejvielu ieguves resursi, ir jāatceļ ierobežojums izmantot tikai makreļu sugas </w:t>
      </w:r>
      <w:r w:rsidR="00000000" w:rsidRPr="00000000" w:rsidDel="00000000">
        <w:rPr>
          <w:i w:val="1"/>
          <w:rtl w:val="0"/>
        </w:rPr>
        <w:t xml:space="preserve">Scomber scombrus</w:t>
      </w:r>
      <w:r w:rsidR="00000000" w:rsidRPr="00000000" w:rsidDel="00000000">
        <w:rPr>
          <w:rtl w:val="0"/>
        </w:rPr>
        <w:t xml:space="preserve"> zivis, dodot iespēju konservos izmantot makreļveidīgo zivju ģints (Scomber) citu sugu zivis, piem., </w:t>
      </w:r>
      <w:r w:rsidR="00000000" w:rsidRPr="00000000" w:rsidDel="00000000">
        <w:rPr>
          <w:i w:val="1"/>
          <w:rtl w:val="0"/>
        </w:rPr>
        <w:t xml:space="preserve">Scomber japonicus</w:t>
      </w:r>
      <w:r w:rsidR="00000000" w:rsidRPr="00000000" w:rsidDel="00000000">
        <w:rPr>
          <w:rtl w:val="0"/>
        </w:rPr>
        <w:t xml:space="preserve">, </w:t>
      </w:r>
      <w:r w:rsidR="00000000" w:rsidRPr="00000000" w:rsidDel="00000000">
        <w:rPr>
          <w:i w:val="1"/>
          <w:rtl w:val="0"/>
        </w:rPr>
        <w:t xml:space="preserve">Scomber colias</w:t>
      </w:r>
      <w:r w:rsidR="00000000" w:rsidRPr="00000000" w:rsidDel="00000000">
        <w:rPr>
          <w:rtl w:val="0"/>
        </w:rPr>
        <w:t xml:space="preserve"> u. 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12. pielikuma 19.2. apakšpunkts jāprecizē, dodot iespēju konservos izmantot makreļveidīgo zivju ģints (</w:t>
      </w:r>
      <w:r w:rsidR="00000000" w:rsidRPr="00000000" w:rsidDel="00000000">
        <w:rPr>
          <w:i w:val="1"/>
          <w:rtl w:val="0"/>
        </w:rPr>
        <w:t xml:space="preserve">Scomber</w:t>
      </w:r>
      <w:r w:rsidR="00000000" w:rsidRPr="00000000" w:rsidDel="00000000">
        <w:rPr>
          <w:rtl w:val="0"/>
        </w:rPr>
        <w:t xml:space="preserve">) zivis. Ievērojot Tiesību aktu portāla tehniskos risinājumus, minētais pielikums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noteikts, ka bioloģiskās lauksaimniecības shēmā operators ir shēmas produkta ražotājs, taču bioloģiskās kontroles institūcija apliecina arī tāda operatora statusu, kurš produktus piegādā bioloģiskās lauksaimniecības produktu pārstrādes uzņēmumam vai kooperatīvam. Lai veicinātu sabiedriskās ēdināšanas uzņēmumu iesaistīšanos bioloģiskās lauksaimniecības shēmā, ir jāprecizē noteikumi Nr. 461, lai iekļautu sabiedriskās ēdināšanas uzņēmumus, kas ēdienu gatavošanā izmanto bioloģiskās lauksaimniecības produktus vai nu 30–60 %, vai 60–90 %, vai 90–100 % no kopējā  produktu īpatsvara (</w:t>
      </w:r>
      <w:r w:rsidR="00000000" w:rsidRPr="00000000" w:rsidDel="00000000">
        <w:rPr>
          <w:i w:val="1"/>
          <w:rtl w:val="0"/>
        </w:rPr>
        <w:t xml:space="preserve">euro</w:t>
      </w:r>
      <w:r w:rsidR="00000000" w:rsidRPr="00000000" w:rsidDel="00000000">
        <w:rPr>
          <w:rtl w:val="0"/>
        </w:rPr>
        <w:t xml:space="preserve">) un ir pakļauti bioloģiskās  lauksaimniecības kontroles un uzraudzības sistēmai atbilstoši normatīvajiem aktiem bioloģiskās lauksaimniecības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jāprecizē 5.</w:t>
      </w:r>
      <w:r w:rsidR="00000000" w:rsidRPr="00000000" w:rsidDel="00000000">
        <w:rPr>
          <w:vertAlign w:val="superscript"/>
          <w:rtl w:val="0"/>
        </w:rPr>
        <w:t xml:space="preserve">2 </w:t>
      </w:r>
      <w:r w:rsidR="00000000" w:rsidRPr="00000000" w:rsidDel="00000000">
        <w:rPr>
          <w:rtl w:val="0"/>
        </w:rPr>
        <w:t xml:space="preserve">punkts un  41.</w:t>
      </w:r>
      <w:r w:rsidR="00000000" w:rsidRPr="00000000" w:rsidDel="00000000">
        <w:rPr>
          <w:vertAlign w:val="superscript"/>
          <w:rtl w:val="0"/>
        </w:rPr>
        <w:t xml:space="preserve">1</w:t>
      </w:r>
      <w:r w:rsidR="00000000" w:rsidRPr="00000000" w:rsidDel="00000000">
        <w:rPr>
          <w:rtl w:val="0"/>
        </w:rPr>
        <w:t xml:space="preserve">3. apakšpunkts, tos papildinot ar nosacījumiem, kas attiecināmi uz operatoru – sabiedriskās ēdināšanas uzņēmumu.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ir jānosaka kvalitātes prasības liofilizētiem – sublimētiem jeb ar izsaldēšanu kaltētiem – produktiem.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pielikuma nosaukums un 1., 2., 5. un 6. punkts ir jāprecizē, lai noteiktu prasības jaunai produktu grupai – liofilizētiem produktiem. Tāpat jānosaka organoleptiskie produktu kvalitātes kritēriji un tāds būtisks rādītājs kā </w:t>
      </w:r>
      <w:r w:rsidR="00000000" w:rsidRPr="00000000" w:rsidDel="00000000">
        <w:rPr>
          <w:rtl w:val="0"/>
        </w:rPr>
        <w:t xml:space="preserve">ūdens aktivitāte, jo tai jābūt zem 0,6, lai kavētu mikroorganismu attīstību, un nav pieļaujama arī salmonellu klātbūtne. Ievērojot Tiesību aktu portāla tehniskos risinājumus, minētais pielikums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13. punktā noteikts, ka dienests uztur un savā tīmekļvietnē ievieto sarakstu, par aizsargātu ģeogrāfiskās izcelsmes norāžu shēmu un aizsargātu cilmes vietas nosaukumu shēmu, iekļaujot šādu informāciju – shēmas produkta nosaukumu, operatora un izejvielu piegādātāja nosaukumu vai vārdu un uzvārdu, Eiropas Komisijas regulas numuru, datumu un nosaukumu par Latvijā ražotā produkta ierakstīšanu Eiropas Savienības Aizsargātu ģeogrāfiskās izcelsmes norāžu vai Aizsargātu cilmes vietas nosaukumu reģistrā. Tā kā shēmas produktu ražošanā var būt iesaistīti vairāki izejvielu piegādātāji, kam produkta specifikācijā nav apliecināta tiešā saikne ar ģeogrāfisko apgabalu, nepieciešami redakcionāli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461 13.3. apakšpunkts, nosakot, ka aizsargātu ģeogrāfiskās izcelsmes norāžu shēmas un aizsargātu cilmes vietas nosaukumu shēmas sarakstā informāciju par operatoru, kā arī izejvielu piegādātāju sniedz tad, ja produkta reģistrācijas pieteikumā ir norādīta ģeogrāfiskajā apgabalā iegūtas izejvielas izmantošana.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bioloģiskās kontroles institūcijas atbilstoši vispārīgiem normatīviem aktiem bioloģiskās lauksaimniecības jomā sertificē arī primāro produktu ražotājus – izejvielu piegādātājus, tad saistībā ar shēmu nav nepieciešams papildus uzturēt konkrētā operatora izejvielu piegādātāju sarakstu.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461 14. punkts, atceļot prasību bioloģiskās kontroles institūcijām uzturēt operatora izejvielu piegādātāju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NPKS operatoru un produktu daudzumu, patērētājiem būs iespēja iegādāties vairāk pārtikas kvalitātes shēmu produktu.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uzņēmumi, kas iesaistījušies bioloģiskās lauksaimniecības shēmā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uzņēmumi, kas iesaistījušies nacionālajā pārtikas kvalitātes shēmā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pārtikas kvalitātes shēmās iesaistītos dalībniekus, kā arī jaunus NPKS dalībniekus, dodot iespēju palielināt sertificējamo produktu skaitu NPKS, kā arī zivju konservu ražošanas apjomu. Bioloģiskās lauksaimniecības operatoriem samazināsies administratīvais slogs, jo tikai vienu reizi gadā kontroles institūcijā būs jāiesniedz informācija par ražošanas apjomu un dalību shēmā (iepriekš informācija par izmaiņām izejvielu piegādātāju sarakstā bija jāsniedz reizi ceturksnī) un NPKS informācija par izejvielu piegādātājiem un realizācijas apjomu (iepriekš par izmaiņām izejvielu piegādātāju sarakstā bija jāinformē reizi ceturksnī). Attiecīgi samazināsies administratīvais slogs kontroles institūcijām un dienestam informācijas saņemšanai un aktualizēšanai.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(ražotājiem) ir dota iespēja ražot kvalitatīvus vietējos produktus un piedalīties pārtikas kvalitātes shēmās, kā arī patērētājiem saņemt kvalitatīvus vietējos produktus. NPKS operatoriem nav paredzama administratīvā sloga palielināšanās, jo dalība pārtikas kvalitātes shēmās ir brīvprātīga. Bioloģiskās lauksaimniecības operatoriem  samazināsies administratīvais slogs: kontroles institūcijā informācija par ražošanas rādītājiem būs jāiesniedz vienu reizi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uzņēmumi, kas iesaistījušies bioloģiskās lauksaimniecības shēmā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Centrālās statistikas pārvaldes (CSP) dati par darba algu privātajā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Bioloģiskās lauksaimniecības shēmas operatoram samazinās informācijas daudzums par izejvielu piegādātājiem (saraksta vietā jānorāda skaits) un par izmaiņām jāziņo reizi gadā (iepriekš – reizi ceturksnī).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Bioloģiskās lauksaimniecības kontroles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dati par darba algu privātajā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-17 400,00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 tiks saņemta un aktualizēta reizi gadā (iepriekš – katru ceturksni).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dati par darba algu privātajā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Dienests informāciju par izejvielu piegādātājiem saņems un aktualizēs reizi gadā (iepriekš – reizi pusgadā).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uzņēmumi, kas iesaistījušies nacionālajā pārtikas kvalitātes shēmā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dati par darba algu privātajā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NPKS operators informāciju par izejvielu piegādātājiem saņems un aktualizēs reizi gadā (iepriekš – reizi pusgadā).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-48 136,00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Latvijas Pārtikas uzņēmumu federācija, biedrība "Latvijas zivju audzētāju asociācija", biedrība "Latvijas Vēžu un zivju 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https://vktap.mk.gov.lv/public_participations/public_discussions/aee5a650-0c6e-40c3-9f29-2e3f92f529b9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Patērētajiem iespēja izvēlēties kvalitatīvus vietējos pārtikas produktus.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25-TA-1183</w:t>
    </w:r>
    <w:r>
      <w:br/>
    </w:r>
    <w:r w:rsidR="00000000" w:rsidRPr="00000000" w:rsidDel="00000000">
      <w:rPr>
        <w:rtl w:val="0"/>
      </w:rPr>
      <w:t xml:space="preserve">Izdrukāts 29.07.2026. 21.14 - 5.0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25-TA-1183</w:t>
    </w:r>
    <w:r>
      <w:br/>
    </w:r>
    <w:r w:rsidR="00000000" w:rsidRPr="00000000" w:rsidDel="00000000">
      <w:rPr>
        <w:rtl w:val="0"/>
      </w:rPr>
      <w:t xml:space="preserve">Izdrukāts 29.07.2026. 21.14 - 5.0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anotācija_(ex_ante)_25-TA-1183.docx</dc:title>
</cp:coreProperties>
</file>

<file path=docProps/custom.xml><?xml version="1.0" encoding="utf-8"?>
<Properties xmlns="http://schemas.openxmlformats.org/officeDocument/2006/custom-properties" xmlns:vt="http://schemas.openxmlformats.org/officeDocument/2006/docPropsVTypes"/>
</file>