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(turpmāk - MK Noteikumu projekts) izstrādāts, lai precizētu vairākus MK noteikumu projekta punktus, kas saistīti ar atbalsta saņemšanu, kā arī MK Noteikumu projekta ietvaros tiek precizēts 5.1.1.2.i investīcijas finansējums.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precizēt atbalsta programmas pieejamo Atveseļošanas un noturības mehānisma (turpmāk – ANM) plāna finansējumu, lai novirzītu to citu atbalsta programmu īstenošanai un atvieglot avansa saņemšanas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investīciju apjomu pētniecībā un attīstībā, ANM ietvaros ir piešķirts finansējums ekonomikas transformācijas un produktivitātes reformai, 5.1. reformu un investīciju virziena “Produktivitātes paaugstināšana caur investīciju apjoma palielināšanu P&amp;A” 5.1.1.r. reformas ”Inovāciju pārvaldība un privāto P&amp;A investīciju motivācija” 5.1.1.2.i. investīcijai “Atbalsta instruments pētniecības un internacionalizācijas veicināšanai” (turpmāk – 5.1.1.2.i. investīcija) ietvaros uz 2025.gada 30.oktobri ir noslēgti līgumi  par 101 036 412 eiro, taču kopējais ANM 5.1.1.2.i. investīcijas finansējums ir 108 474 469 eiro, kas nozīmē, ka pastāv brīvais finansējums 7 438 057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5.1.1.2.i. investīcija tiek ieviesta četrās kārtās: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Pārejas finansējums – Ministru kabineta 2022. gada 5. jūlija noteikumi Nr.418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pirmās kārtas īstenošanas noteikumi”. Kopējais plānotais finansējums bija 25 000 000 eiro, taču praktiski tika apgūts 24 526 777 eiro, veidojot 473 223 eiro lielu pārpalikumu, šis finansējums tika novirzīts ANM 3.1.1.7.i. investīcijai “Aizdevumi nekustamā īpašuma attīstītājiem zemas īres maksas mājokļu būvniecībai”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Atbalsts pētniecībai – Ministru kabineta 2024. gada 9. janvāra noteikumi Nr.32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 Kopējais finansējums, par ko noslēgti līgumi 47 663 651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tīkli – Ministru kabineta 2023. gada 24. oktobra noteikumi Nr.609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Kopējais finansējums par ko noslēgti līgumi 4 810 818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Eiropai svarīgo kopīgo interešu projekti – Ministru kabineta 2024. gada 20. februāra noteikumi Nr.116 "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(turpmāk – MK Noteikumi Nr.116). Kopējais plānotais finansējums 31 000 000 eiro, taču faktiski apgūtais finansējums bija 24 035 166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lietderīgi izmantotu 5.1.1.2.i investīcijas ietvaros palikušo brīvo finansējumu, MK Noteikuma projektaprojekts paredz to novirzīt investīcijām, kurās tas tiktu efektīvi izmantots.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ietvaros Ekonomikas ministrija brīvo finansējumu 6 964 834 eiro apmērā ir rosina pārvirzīt investīcijas 3.1.1.7 "Aizdevumi nekustamā īpašuma attīstītājiem zemas īres maksas mājokļu būvniecībai" un 1.2.1.4.i. investīcijai “Energoefektivitātes uzlabošana valsts sektora ēkās, t. sk. vēsturiskajās ēkās"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Ekonomikas ministrija, pamatojoties uz Ministru kabineta sēdes protokollēmuma projektu (25-TA-2548), kur tika skatīts noteikumu projekts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 protokollēmuma 3.2.apakšpunktā ir minēts, ka " Atveseļošanas fonda finansējuma ietaupījums no 5.1.1.2.i. investīcijas “Atbalsta instruments pētniecībai un internacionalizācijai” pirmās kārtas 364 485  euro apmērā " tiks novirzīti atbalsta sniegšanai 3.1.1.7.i. investīcijas "Aizdevumi nekustamā īpašuma attīstītājiem zemas īres maksas mājokļu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lēmums pieņemts, ņemot vērā 3.1.1.7 investīcijas būtisko nozīmi reģionālās attīstības veicināšanā. Investīcija ir vērsta uz zemas īres maksas mājokļu būvniecību ārpus Rīgas un Pierīgas reģiona, tādējādi sekmējot sabalansētu teritoriju attīstību, mazinot reģionālās atšķirības un veicinot iedzīvotāju dzīves kvalitātes uzlabošanos visā Latvijā. Šī investīcija atbilst šī brīža valdības uzsvaram uz reģionu attīstību un ilgtspējīgu mājokļu pieejamību, kas ir būtisks priekšnosacījums ekonomiskās aktivitātes veicināšanai ārpus galvaspilsētas.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(turpmāk - ES) fondu tematiskās komitejas 2025. gada 29. maija (https://www.mk.gov.lv/lv/media/23199/download?attachment) protokola 2. punkta “Atveseļošanas fonda finansējuma ietaupījumu izmantošana” 2.1.2. apakšpunktā (pieejams Ministru kabineta mājas lapā: https://www.mk.gov.lv/lv/eiropas-savienibas-fondu-tematiska-komiteja-0) noteiktajam ir atbalstīta Atveseļošanas fonda ietaupījumu pārdale Ekonomikas ministrijas (turpmāk - EM) īres mājokļu programmai 12 milj. euro apmērā 3.1.1.7.i. investīcijai “Aizdevumi nekustamā īpašuma attīstītājiem zemas īres maksas mājokļu būvniecībai”, ko īsteno AS “Attīstības finanšu institūcija Altum”, kā arī potenciāli papildu identificētiem ietaupījumiem 2,3 milj. euro apmērā, kurus EM jāizvērtē kopā ar KM 1.2.1.4.i. investīcijai noteikto rādītāju - kopējās primārās enerģijas patēriņa samazinājums un vidēji 1.2.1.4.i. investīcijas ietvaros 30% kopējās primārās enerģijas ietaupījums - sasniegšanas nodrošināšanai līdz 2026. gada 30. jūnijam. AF finansējums 953 409 euro tiks pārdalīts no 5.1.1.2.i. investīcijas "Atbalsta instruments pētniecībai un internacionalizācijai" ietaupījuma 6 964 834 euro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1)Precizēt MK Noteikumu Nr.116 5. punktu, nosakot, ka investīcijas ietvaros kopējais pieejamais ANM finansējums ir 24 035 166 eiro. Vienlaikus tiek precizēts MK Noteikumu Nr.116 6.1. apakšpunktā minētais  sasniedzamais mērķis atbilstoši brīvā finansējuma pārdalei.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2)Precizēt MK Noteikumu Nr. 116 6.2.apakšpunktu, pamatojoties uz saņemto Finanšu ministrijas 23.05.2025. vēstuli Nr.5.1-27/21/1573 par uzraudzības rādītāju turpmāko neatskaitīšanos Eiropas Komisijai. Vienlaikus uzraudzības rādītāji tika dzēsti 67.1 apakšpunktā un 79. punktā. Ekonomikas ministrija informēs finansējumā saņēmējus pēc MK noteikumu Nr.116 grozījumu apstiprināšanas par veiktajām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3)Papildus precizēts MK noteikumu Nr.116 43.6. apakšpunkts, lai mazinātu uzraudzības birokrātisko slogu un noteiktu ka nosacījumi ir attiecināmi retrospektīvi no projekta iesnieguma iesniegšanas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precizēts MK noteikumu Nr.116 69 apakšpunkts to papildinot ar atsauci uz 68</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precizēti avansa saņemšanas nosacījumi. MK Noteikuma projekts paredz iekļaut jaunu 68</w:t>
      </w:r>
      <w:r w:rsidR="00000000" w:rsidRPr="00000000" w:rsidDel="00000000">
        <w:rPr>
          <w:vertAlign w:val="superscript"/>
          <w:rtl w:val="0"/>
        </w:rPr>
        <w:t xml:space="preserve">1</w:t>
      </w:r>
      <w:r w:rsidR="00000000" w:rsidRPr="00000000" w:rsidDel="00000000">
        <w:rPr>
          <w:rtl w:val="0"/>
        </w:rPr>
        <w:t xml:space="preserve">. punktu, kas nosaka, ka finansējuma saņēmējs var saņemt avansa maksājumus, kas pārsniedz 30% ierobežojumu, kas minēts Ministru kabineta noteikumu 68. punktā, tad Atbalsta saņēmējs var pieprasīt papildu avansa maksājumu, pamatojot tā nepieciešamību ar plānotajiem faktiskajiem izdevumiem, un Sadarbības iestāde avansa daļu, kas pārsniedz 30 procentus no kopējā projektam paredzētā publiskā finansējuma apmēra, dzēš ar nākamo progresa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 tā nepieciešamību ar plānotajiem faktiskajiem izdevumiem, un Sadarbības iestāde avansa daļu, kas pārsniedz 30 procentus no kopējā projektam paredzētā publiskā finansējuma apmēra, dzēš ar nākamo progresa pārskatu. Tas nozīmē, ka ar nākamo plānoto starpposma progresa pārskatu, finansējuma saņēmējam, vērtējot savas iespējas un konsultējoties ar CFLA, ir jānorāda apmērs, kādā tiks veikta avansa dzēšana. Pēc šāda progresa pārskata iesniegšanas, finansējuma saņēmējs var pieprasīt avansu, kas pārsniedz 30% no projekta Atveseļošanas fonda finansējuma apmēra, iesniedzot avansa maksājuma pamatojošos dokumentus. Vienlaikus tiek dzēst prasība MK Noteikumu Nr. 116 68.punktā, ja atbalsta saņēmējs vēlas saņemt vairākus avansus, tad nākamo avansu var saņemt pēc tam, kad iepriekšējais ir apgūts pilnā apmērā, kas paātrinās naudas plūsmu un neradīs papildus šķēršļus Eiropai svarīgo kopīgo interešu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6)Precizēt MK noteikumu Nr.116 83.punktu, ņemot vērā, ka 2025. gada 25. jūlijā ir stājušies spēkā grozījumi Ministru kabineta 2016. gada 21. jūnija noteikumos Nr. 386 "Kārtība, kādā publicē informāciju par sniegto komercdarbības atbalstu un piešķir un anulē elektroniskās sistēmas lietošanas tiesības", ar kuru tika grozīts iepriekš minēto MK noteikumu nosaukums uz "Kārtība, kādā publicē informāciju par sniegto komercdarbības atbalstu", atbilstoši precizēts MK noteikumu Nr.116 83.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ANM 5.1.1.2.i. investīcijas ceturtās kārtas nesadalītais finansējums 6 964 834 eiro apmērā tiek novirzīts: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3.1.1.7.i. investīcijai “Aizdevumi nekustamā īpašuma attīstītājiem zemas īres maksas mājokļu būvniecībai”, 6 011 425 eiro apmērā, saskaņā ar 2025. gada 2. septembra Ministru kabineta protokola Nr. 34 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1.2.1.4.i. investīcijai “Energoefektivitātes uzlabošana valsts sektora ēkās, t. sk. vēsturiskajās ēkās", 953 409 eiro apmērā, saskaņā ar 2025. gada 16. septembra Ministru kabineta protokola Nr. 37 29.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neietekmēs Noteikumu Nr.116 ietvaros atlasītos finansējuma saņēmējus un sasniegtā ANM rādītāja Nr.158 izpildi, atbilstoši ANM Darbības kārtībai, par kuru vienojušās Eiropas Komisija un Latvija.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noteikumu projektu plānotos grozījumus, tiks veikti grozījumi arī līgumos un vienošanās par investīciju projektu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Nr.116 ietvaros 2025.gadā kopējais pieejamais ANM finansējums bija 31 000 000 euro. Ņemot vērā, ka CFLA ir noslēgusi 8 līgumus ar finansējuma saņēmējiem par kopējo ANM finansējumu 24 035 165 euro ir izveidojies ANM finansējuma atlikums 6 964 834 euro. Lai nodrošinātu efektīvu resursu izmantošanu, nezaudētu Latvijai piešķirto ANM finansējumu un veicinātu plānoto pasākumu īstenošanu, nesadalīto finansējumu (6 964 834 euro) 2025.gadā bija nepieciešams novirzīt citu atbalsta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5.1.1.2.i.investīcijas 4. kārtas īstenošanai ir ieplānots likumā “Par valsts budžetu 2025. gadam un budžeta ietvaru 2025., 2026. un 2027. gadam” Finanšu ministrijas budžeta apakšprogrammā 74.07.00 “Atveseļošanas un noturības mehānisma (ANM) finansējums projektu un pasākumu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6 964 834 euro apmērā 2025.gadā no 5.1.1.2.i.investīcijas 4. kārtas tiek novirzīts: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3.1.1.7.i. investīcijai “Aizdevumi nekustamā īpašuma attīstītājiem zemas īres maksas mājokļu būvniecībai”, 6 011 425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1.2.1.4.i. investīcijai “Energoefektivitātes uzlabošana valsts sektora ēkās, t. sk. vēsturiskajās ēkās", 953 409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finansējums 5.1.1.2.i. investīcijas "Atbalsta instruments pētniecībai un internacionalizācijai" ceturtās kārtas īstenošanai 2026.gadam ir 5 482 829 euro un 2027.gadam 4 001 148 euro.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panta (turpmāk - Komisijas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panta (turpmāk - Komisijas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9.panta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25.panta 3.punkta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43.6.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Divdesmit darba dienu laikā pēc Noteikumu projekta spēkā stāšanās Ekonomikas ministrija, izmantojot SANI2 sistēmu, iesniegs kopsavilkuma informāciju par programmu Eiropas Komisijai.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5.1.1.2.i. investīciju tiks sekmēta viena no Nacionālā attīstības plāna mērķu izpildēm: Uzņēmumu izaugsme un konkurētspēja ir balstīta spējā uz zinātnes bāzes radīt un pārdot pieprasītus, zināšanu ietilpīgus produktus un pakalpojumus, iekļaujoties arvien augstākas pievienotās vērtības globālajās ķēdēs. Viedā specializācija, inovācija, tehnoloģiju attīstība un modernizācija, kā arī mērķtiecīgi ieguldījumi cilvēkkapitālā ir pamats produktivitātes kāpumam.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25-TA-2020</w:t>
    </w:r>
    <w:r>
      <w:br/>
    </w:r>
    <w:r w:rsidR="00000000" w:rsidRPr="00000000" w:rsidDel="00000000">
      <w:rPr>
        <w:rtl w:val="0"/>
      </w:rPr>
      <w:t xml:space="preserve">Izdrukāts 29.07.2026. 22.44 - 4.0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25-TA-2020</w:t>
    </w:r>
    <w:r>
      <w:br/>
    </w:r>
    <w:r w:rsidR="00000000" w:rsidRPr="00000000" w:rsidDel="00000000">
      <w:rPr>
        <w:rtl w:val="0"/>
      </w:rPr>
      <w:t xml:space="preserve">Izdrukāts 29.07.2026. 22.44 - 4.0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anotācija_(ex_ante)_25-TA-2020.docx</dc:title>
</cp:coreProperties>
</file>

<file path=docProps/custom.xml><?xml version="1.0" encoding="utf-8"?>
<Properties xmlns="http://schemas.openxmlformats.org/officeDocument/2006/custom-properties" xmlns:vt="http://schemas.openxmlformats.org/officeDocument/2006/docPropsVTypes"/>
</file>