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"Integrētā jūrlietu politika""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valsts un Eiropas Savienības atbalsta piešķiršanu pasākumā "Integrētā jūrlietu politika""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17. jūnija Direktīvu 2008/56/EK, ar ko izveido sistēmu Kopienas rīcībai jūras vides politikas jomā (Jūras stratēģijas pamatdirektīva) (turpmāk - direktīva 2008/56/EK).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Latvijas Republikā sākās jaunais 2021.–2027. gada Eiropas Jūrlietu, zvejniecības un akvakultūras fonda (turpmāk – EJZAF) plānošanas periods, ko regulē regulas 2021/1139, 2021/1060. Noteikumu projekta mērķis ir noteikt kārtību, kādā piešķir valsts un Eiropas Savienības atbalstu pasākumā "Integrētā jūrlietu politika".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 Noteikumu projektā noteikta kārtība, kādā piešķir valsts un Eiropas Savienības atbalstu pasākumā „Zināšanu uzlabošana jūras vides stāvokļa jomā” (turpmāk – pasākums) saskaņā ar Regulu 2021/1139. Noteikumu projekts nosaka atbalsta pretendentus, atbalsta saņemšanas nosacījumus, attiecināmās un neattiecināmās izmaksas, pieteikšanās kārtību un iesniedzamos dokumentus, kā arī atbalsta apmēru. Viena no attiecināmo izmaksu pozīcijām, kas ir ietverta noteikumu projektā, ir izmaksas, kas saistītas ar dalību reģionāla un starptautiska mēroga darba grupu sanāksmēs, sadarbības konferencēs un semināros. Lai ievērotu normatīvajos aktos par jūras vides aizsardzību un pārvaldību noteikto reģionālās sadarbības un koordinācijas principu, Latvijai jāsadarbojas ar citām valstīm Baltijas jūras reģionā. Reģionālā sadarbība notiek Baltijas jūras vides aizsardzības komisijā (HELCOM) un citās reģionālajās sadarbības institūcijās, lai veicinātu saskaņotu un koordinētu jūras stratēģijas izstrādāšanu un īstenošanu visā Baltijas jūras reģionā, saskaņotu jūras vides stāvokļa novērtēšanas metodes, kā arī risinātu citus kopīgus uzdevumus un veiktu saskaņotas darbības attiecībā uz laba jūras vides stāvokļa panākšanu un saglabāšanu Baltijas jūrā. Sadarbība, ja nepieciešams, notiek ārpus starptautiskajām organizācijām un reģionālajām sadarbības institūcijām, īpaši ar tām valstīm, ar kurām Latvijai ir jūras robeža, kā arī ar valstīm ārpus Baltijas jūras reģiona, jo īpaši, lai veicinātu pieredzes apmaiņu un paraugpraksi laba jūras vides stāvokļa panākšanai un saglabāšanai, kā arī lai nodrošinātu koordināciju starp dažādiem Eiropas jūru reģioniem un novērstu pārrobežu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uz atbalstu varēs pretendēt valsts pārvaldes iestāde, kas atbilstoši jūras vides aizsardzību un pārvaldību regulējošajiem normatīvajiem aktiem izstrādā pasākumu programmu laba jūras vides stāvokļa panākšanai un saglabāšanai. Atbalsta pretendents ir noteikts atbilstoši Jūras vides aizsardzības un pārvaldības likumā noteiktajam deleģējumam Vides aizsardzības un reģionālās attīstības ministrijai izstrādāt pasākumu programmu. Projektā paredzēto darbību īstenošanai atbalsta pretendents uz līgumsaistību pamata var piesaistīt citas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atbalsta intensitāte pasākumā ir 100%. Savukārt publisko atbalstu veido EJZAF līdzfinansējums 70% apmērā un Latvijas valsts līdzfinansējums 30% apmērā. Regulas Nr. 2021/1139 25. panta 2. punkta "c" apakšpunkts nosaka, ka Eiropas Jūrlietu, zvejniecības un akvakultūras fonda (turpmāk – EJZAF) atbalsts var attiekties uz</w:t>
      </w:r>
      <w:r w:rsidR="00000000" w:rsidRPr="00000000" w:rsidDel="00000000">
        <w:rPr>
          <w:b w:val="1"/>
          <w:rtl w:val="0"/>
        </w:rPr>
        <w:t xml:space="preserve"> </w:t>
      </w:r>
      <w:r w:rsidR="00000000" w:rsidRPr="00000000" w:rsidDel="00000000">
        <w:rPr>
          <w:rtl w:val="0"/>
        </w:rPr>
        <w:t xml:space="preserve">darbībām, ar kurām jūras vidē sasniedz un saglabā labu vides stāvokli, kā noteikts Direktīvas 2008/56/EK 1. panta 1. punktā</w:t>
      </w:r>
      <w:r w:rsidR="00000000" w:rsidRPr="00000000" w:rsidDel="00000000">
        <w:rPr>
          <w:b w:val="1"/>
          <w:rtl w:val="0"/>
        </w:rPr>
        <w:t xml:space="preserve">, </w:t>
      </w:r>
      <w:r w:rsidR="00000000" w:rsidRPr="00000000" w:rsidDel="00000000">
        <w:rPr>
          <w:rtl w:val="0"/>
        </w:rPr>
        <w:t xml:space="preserve">līdz ar to šajā pasākumā ir piemērojama 100% publiskā atbalsta intensitāte.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pretendentu – valsts pārvaldes iestādi, kas atbilstoši jūras vides aizsardzību un pārvaldību regulējošajiem normatīvajiem aktiem izstrādā pasākumu programmu laba jūras vides stāvokļa panākšanai un saglabāšanai.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finanšu līdzekļu apmērs, kas nepieciešams, lai nodrošinātu projektā paredzētā informācijas sniegšanas pienākuma izpildi (stundas samaksas likme, ieskaitot virsstundas vai stundas limitu ārējo pakalpojumu sniedzējiem, ja tādi ir);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lai sagatavotu saskaņā ar projektu sniedzamo informāciju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uz kuriem attiecas projektā paredzētās informācijas sniegšanas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reižu skaits gada laikā, kad paredzēta informācijas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pasākuma mērķgrupa ir valsts pārvaldes iestāde, kas atbilstoši jūras vides aizsardzību un pārvaldību regulējošajiem normatīvajiem aktiem izstrādā pasākumu programmu laba jūras vides stāvokļa panākšanai un saglabāšanai. Tādējādi atbalsta pasākuma mērķgrupa ir viens atbalsta pretendents. Mērķgrupas administratīvās izmaksas veido projekta iesnieguma un nepieciešamo pavaddokumentu sagatavošana. Projekta iesnieguma un nepieciešamo pavaddokumentu sagatavošanai un informācijas apkopošanai vidēji nepieciešams laiks vienam darbiniekam nepārsniedz 10 stundas. Vienas stundas darbaspēka izmaksas zivsaimniecībā ir 9,95 euro (avots – Centrālās statistikas pārvaldes dati).
Mērķgrupa gada laikā vienu reizi iesniedz projekta iesniegumu.
C = (f x l) x (n x b) = (9,95 x 10) x (1 x 1) = 99,50 euro, kur
C – informācijas sniegšanas pienākuma radītās izmaksas jeb administratīvās izmaksas;
f – finanšu līdzekļi, kas nepieciešami, lai nodrošinātu projektā paredzētā informācijas sniegšanas pienākuma izpildi (stundas samaksas likme, ieskaitot virsstundas vai stundas limitu ārējo pakalpojumu sniedzējiem, ja tādi ir);
l – laika patēriņš, kas nepieciešams, lai sagatavotu informāciju, kuras sniegšanu paredz projekts;
n – subjektu skaits, uz kuriem attiecas projektā paredzētās informācijas sniegšanas prasības;
b – reizes, cik bieži gada laikā projekts paredz informācijas sniegšanu.
Lauku atbalsta dienesta administratīvās izmaksas veidojas par sludinājuma teksta sagatavošanu saistībā ar projektu iesniegumu pieņemšanas kārtas uzsākšanu un tā iesniegšanu publicēšanai oficiālajā izdevumā “Latvijas Vēstnesis”, projektu iesniegumu un pavaddokumentu pieņemšanu, tajos iekļautās informācijas izvērtēšanu, apstrādi un uzglabāšanu. Aptuvenās izmaksas par viena projekta iesnieguma pieņemšanu un apstrādi:
C = (f x l) x (n x b) = (9,95 x 2) x (1 x 1) = 19,9 euro. Informācijas uzglabāšana neradīs papildu administratīvo slogu. Kopējās administratīvās izmaksas ir prognozējamas aptuveni 119,4 euro apmērā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2021.–2027. gadam atbalsta pasākums paredzēts zem 1. prioritātes Veicināt ilgtspējīgu zvejniecību un ūdeņu bioloģisko resursu atjaunošanu un saglabāšanu, 1.6. Konkrētā mērķa Veicināt ūdens bioloģiskās daudzveidības un ekosistēmu aizsargāšanu un atjaunošanu. Pasākumā "Integrētā jūrlietu politika" līdz 2029. gadam kopējais pieejamais finansējums ir 3 500 000  euro, t.sk. EJZAF finansējums (70%) 2 450 000 euro un valsts budžeta finansējums (30%) 1 050 000 euro, ko plānots sadalīt vienādās daļās uz visiem septiņiem atbalstam attiecināmajiem gadiem.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pasākumu īstenošanai Zemkopības ministrija pieprasīs normatīvajos aktos noteiktajā kārtībā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pasākuma īstenošanai izmaksās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2021. gada 7. jūlija Regula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32008L0056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 gada 17. jūnija Eiropas Parlamenta un Padomes Direktīva 2008/56/EK, ar ko izveido sistēmu Kopienas rīcībai jūras vides politikas jomā (Jūras stratēģijas pamatdirektīva)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32014L0089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23. jūlija Eiropas Parlamenta un Padomes Direktīva 2014/89/ES, ar ko izveido jūras telpiskās plānošanas satvaru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(ES) 2021. gada 7. jūlija Regula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25.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2008. gada 17. jūnija Eiropas Parlamenta un Padomes Direktīva 2008/56/EK, ar ko izveido sistēmu Kopienas rīcībai jūras vides politikas jomā (Jūras stratēģijas pamatdirektīva)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2008/56/EK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Direktīvu 2008/56/EK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2014. gada 23. jūlija Eiropas Parlamenta un Padomes Direktīva 2014/89/ES, ar ko izveido jūras telpiskās plānošanas satvaru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Direktīvu 2014/89/ES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sniegt atbalstu zināšanu uzlabošanai jūras vides stāvokļa jomā pasākumu programmas laba jūras vides stāvokļa panākšanai un saglabāšanai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22-TA-2025</w:t>
    </w:r>
    <w:r>
      <w:br/>
    </w:r>
    <w:r w:rsidR="00000000" w:rsidRPr="00000000" w:rsidDel="00000000">
      <w:rPr>
        <w:rtl w:val="0"/>
      </w:rPr>
      <w:t xml:space="preserve">Izdrukāts 29.07.2026. 21.20 - 1.0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22-TA-2025</w:t>
    </w:r>
    <w:r>
      <w:br/>
    </w:r>
    <w:r w:rsidR="00000000" w:rsidRPr="00000000" w:rsidDel="00000000">
      <w:rPr>
        <w:rtl w:val="0"/>
      </w:rPr>
      <w:t xml:space="preserve">Izdrukāts 29.07.2026. 21.20 - 1.0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anotācija_(ex_ante)_22-TA-2025.docx</dc:title>
</cp:coreProperties>
</file>

<file path=docProps/custom.xml><?xml version="1.0" encoding="utf-8"?>
<Properties xmlns="http://schemas.openxmlformats.org/officeDocument/2006/custom-properties" xmlns:vt="http://schemas.openxmlformats.org/officeDocument/2006/docPropsVTypes"/>
</file>