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augusta noteikumos Nr. 463 "Programmas "Iespējkapitāla ieguldījumi"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15. augusta noteikumos Nr. 463 "Programmas "Iespējkapitāla ieguldījumi" īstenošanas noteikumi"" (turpmāk – Noteikumu projekts) ir izstrādāts, lai pirmkārt, sniegtu iespēju piemērot </w:t>
      </w:r>
      <w:r w:rsidR="00000000" w:rsidRPr="00000000" w:rsidDel="00000000">
        <w:rPr>
          <w:i w:val="1"/>
          <w:rtl w:val="0"/>
        </w:rPr>
        <w:t xml:space="preserve">de minimis</w:t>
      </w:r>
      <w:r w:rsidR="00000000" w:rsidRPr="00000000" w:rsidDel="00000000">
        <w:rPr>
          <w:rtl w:val="0"/>
        </w:rPr>
        <w:t xml:space="preserve"> atbalstu, un, otrkārt, pilnveidotu normas, treškārt, precizētu pieejamo finansējumu, ceturtkārt, noteiktu, kāds finansējuma avots izmantojams finanšu starpnieku pārvaldības maksām, kas radušās līdz 2029. gada 31.decembrim.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plašākas atbalsta sniegšanas iespējas gala saņēmējiem, precizētu pieejamo finansējumu un noteiktu finanšu starpnieku pārvaldības maksu finansējuma avotu.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15. augusta noteikumos Nr. 463 "Programmas "Iespējkapitāla ieguldījumi" īstenošanas noteikumi" (turpmāk – MK noteikumi Nr. 463) ietvaros akciju sabiedrība "Attīstības finanšu institūcija Altum” (turpmāk - Altum) atbalsta piešķiršanu īsteno atbilstoši Eiropas Komisijas 2014. gada 17. jūnija Regulas (ES) Nr.  651/2014, ar ko noteiktas atbalsta kategorijas atzīst par saderīgām ar iekšējo tirgu, piemērojot Līguma 107. un 108. pantu (turpmāk – Komisijas regulas Nr. 651/2014) 21. pantam.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463 nav iekļauts nosacījums, kas ļauj sniegt atbalstu arī kā de minimis atbalstu, kā to paredz Komisijas regulas Nr. 651/2014 21. panta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463 nav iekļauti nosacījumi, kas noteiktu, kādos gadījumos un kāds finansējuma avots izmantojams finanšu starpnieku pārvaldības maksas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463 šobrīd nav iekļautas visas iespējkapitāla finansējuma atbalsta sniegšanas iespējas, ko pieļauj Komisijas regulas Nr. 651/2014 21. pants, t.i., sniegt atbalstu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tādēļ nepieciešams precizēt MK noteikumus Nr. 463, nosakot iespēju piemērot alternatīvu atbalsta regulējumu (t.i., </w:t>
      </w:r>
      <w:r w:rsidR="00000000" w:rsidRPr="00000000" w:rsidDel="00000000">
        <w:rPr>
          <w:i w:val="1"/>
          <w:rtl w:val="0"/>
        </w:rPr>
        <w:t xml:space="preserve">de minimis</w:t>
      </w:r>
      <w:r w:rsidR="00000000" w:rsidRPr="00000000" w:rsidDel="00000000">
        <w:rPr>
          <w:rtl w:val="0"/>
        </w:rPr>
        <w:t xml:space="preserve"> atbalstu) iespējkapitāla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463 5. punkts nosaka programmai “Iespējkapitāla ieguldījumi” (turpmāk – programma) kopumā plānoto publisko finansējumu 93 000 000 euro. Programmas ietvaros Attīstības finanšu institūcija Altum (turpmāk – sabiedrība Altum) organizēja finanšu starpnieku atlases publiskā iepirkuma procesa ietvaros. Vienu no atlasēm – 5. paaudzes Sākuma stadijas iespējkapitāla fonda pārvaldnieka atlasi –, kura tika izsludināta 2023. gada 15. decembrī, sabiedrība Altum lēma pārtraukt, jo tajā bija pieteicies tikai viens pretendents. Šāds lēmums tika pieņemts, pamatojoties uz  Publisko iepirkumu likuma 41. panta divpadsmitās daļas nosacījumu, ka pasūtītājs pārtrauc iepirkuma procedūru, ja piedāvājumu ir iesniedzis tikai viens pretendents, atbilstoši minētajam PIL regulējumam attiecīgā atlase tika pārtraukta, jo tajā bija pieteicies tikai viens pretendents un Altum pirms attiecīgās iepirkuma procedūras izsludināšanas nebija veicis PIL 18.panta 2.</w:t>
      </w:r>
      <w:r w:rsidR="00000000" w:rsidRPr="00000000" w:rsidDel="00000000">
        <w:rPr>
          <w:vertAlign w:val="superscript"/>
          <w:rtl w:val="0"/>
        </w:rPr>
        <w:t xml:space="preserve">1</w:t>
      </w:r>
      <w:r w:rsidR="00000000" w:rsidRPr="00000000" w:rsidDel="00000000">
        <w:rPr>
          <w:rtl w:val="0"/>
        </w:rPr>
        <w:t xml:space="preserve"> daļas prasībām atbilstošu apspriedi. Programma paredzēja Sākuma stadijas iespējkapitāla fondam 12 400 000 euro. Atkārtotu iepirkuma procedūru nav plānots izsludināt, ņemot vērā mazo tirgus dalībnieku interesi.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punkts paredz, ka finanšu starpnieku pārvaldības maksai ir jābūt balstītai uz sniegumu, nacionāli bija atšķirīga izpratne, vai tirgus praksē balstītais fondu pārvaldnieku pārvaldības maksas modelis ir saskaņā ar Regulas Nr. 2021/1060 68. panta 4.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2021/1060 59. panta 5. punkts paredz, ka noteikumus programmieguldījumiem finanšu instrumentos izklāsta finansēšanas nolīgumos starp struktūru, kas īsteno līdzdalības fondu, un struktūru, kas īsteno īpašu fondu un minētajos finansēšanas nolīgumos ietver visus X pielikumā noteiktos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pielikuma 1.punkta h) apakšpunkts paredz, ka viens no nolīgumā iekļaujamajiem elementiem ir noteikumi par finanšu instrumentu pārvaldības maksas aprēķinu un maksāšanu saskaņā ar 68. panta 1. punkta d) apakšpunktu. Savukārt Regulas Nr. 2021/1060 68. panta 4. punkts paredz, ka pārvaldības maksas tiek noteiktas, balstoties uz sniegumu, un “ja struktūras, kas īsteno līdzdalības fondu vai īpašos fondus, vai abus, saskaņā ar piemērojamiem tiesību aktiem tiek izvēlētas konkursa kārtībā, pārvaldības izmaksu un maksu summu nosaka finansēšanas nolīgumā, un tā atspoguļo konkursa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nolīgumi (Komandītsabiedrības līgumi), kas noslēgti sabiedrības Altum veikto publisko iepirkumu rezultātā starp struktūru, kas īsteno līdzdalības fondu (sabiedrību Altum), un struktūru, kas īsteno īpašu fondu (iepirkuma rezultātā izvēlēto finanšu starpnieku), ir noslēgti uz periodu, kas pārsniedz ES fondu 2021.-2027.gada plānošanas perioda attiecināmības laiku, jo iespējkapitāla fondu darbības perioda ilgums saskaņā ar MK Noteikumiem Nr. 463 pārsniedz ES fondu 2021.-2027. gada plānošanas periodu. Komandītsabiedrības līgumi paredz, ka finanšu starpniekiem izmaksājamā pārvaldības maksa ir balstīta uz sniegumu, taču sniegums tiek novērtēts tad, kad ir noslēdzies ieguldījumu periods, t.i. tad, kad sniegums faktiski var tikt novērtēts. Savukārt tā kā ES fondu 2021. – 2027. gada plānošanas periods noslēdzas 2029. gada 31. decembrī, tad MK noteikumos tiek iekļauts papildu nacionālais vadības maksas korekcijas mehānisms uz 2029. gadu 31. decembri, nodrošinot Regulas 2021/1060 68. panta 4. punkta, 59. panta 5. punkta un X pielikuma h) punkta izpildi, t.i, šis korekcijas mehānisms tiek ieviests, lai nodrošinātu atbilstošu Regulas Nr. 2021/1060 prasību ievērošanu pēc būtības un deklarētu Eiropas Komisijai atbilstošos izdevumus, tādēļ korekcija, ja tāda ir nepieciešama, ir piemērojama Eiropas Komisijai deklarējamam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Komandītsabiedrības līgums ietver gan ES fondu 2021.-2027.gada plānošanas perioda attiecināmības laiku (t.i. līdz 2029. gada 31. decembrim), gan laiku pēc tā, nosacījumu nodrošināšana pret atbilstību EK līmeņa deklarēšanas nosacījumiem un ārējiem normatīvajiem aktiem tiek noteikta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Attiecīgi CFLA kā sadarbības iestāde projekta īstenošanas laikā deklarēs Eiropas Komisijai komandītsabiedrības līgumu ietvaros radušos vadības maksu atbilstoši tās iekļaušanai maksājuma pieprasījumos, savukārt projekta noslēgumā veiks aprēķinu par faktiskajiem katra fonda rezultātiem un, ja netiks izpildīti šajos MK noteikumos noteiktie apguves rādītāji uz 31.12.2029., piemēros šajos MK noteikumos noteikto korekcijas mehānismu, tādējādi nodrošinot, ka Eiropas Komisijai tiek deklarēts uz sniegumu balstītas vadības maksas kopējais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MK noteikumus Nr. 463 ar šādiem nosacījumiem gadījumos, kad tiek sniegts </w:t>
      </w:r>
      <w:r w:rsidR="00000000" w:rsidRPr="00000000" w:rsidDel="00000000">
        <w:rPr>
          <w:b w:val="1"/>
          <w:i w:val="1"/>
          <w:rtl w:val="0"/>
        </w:rPr>
        <w:t xml:space="preserve">de minimis</w:t>
      </w:r>
      <w:r w:rsidR="00000000" w:rsidRPr="00000000" w:rsidDel="00000000">
        <w:rPr>
          <w:b w:val="1"/>
          <w:rtl w:val="0"/>
        </w:rPr>
        <w:t xml:space="preserve"> atbalsts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atbalstu vienam vienotam uzņēmumam piešķir, nepārsniedzot Komisijas regulas Nr. 2023/2831 3. panta 2. punktā noteikto </w:t>
      </w:r>
      <w:r w:rsidR="00000000" w:rsidRPr="00000000" w:rsidDel="00000000">
        <w:rPr>
          <w:i w:val="1"/>
          <w:rtl w:val="0"/>
        </w:rPr>
        <w:t xml:space="preserve">de minimis</w:t>
      </w:r>
      <w:r w:rsidR="00000000" w:rsidRPr="00000000" w:rsidDel="00000000">
        <w:rPr>
          <w:rtl w:val="0"/>
        </w:rPr>
        <w:t xml:space="preserve"> atbalsta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Regulā Nr.2023/2831, salīdzinot to ar Komisijas Regulu Nr.1407/2013, ir atšķirība, ka trīs gadu laikposms noteikts kā slīdošs periods, tas ir, turpmāk </w:t>
      </w:r>
      <w:r w:rsidR="00000000" w:rsidRPr="00000000" w:rsidDel="00000000">
        <w:rPr>
          <w:i w:val="1"/>
          <w:rtl w:val="0"/>
        </w:rPr>
        <w:t xml:space="preserve">de minimis</w:t>
      </w:r>
      <w:r w:rsidR="00000000" w:rsidRPr="00000000" w:rsidDel="00000000">
        <w:rPr>
          <w:rtl w:val="0"/>
        </w:rPr>
        <w:t xml:space="preserve"> atbalsta kopsumma, ko viena dalībvalsts piešķir vienam vienotam uzņēmumam, nevienā trīs gadu periodā no tā piešķiršanas brīža nedrīkst pārsniegt noteikto robežlielumu.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gala saņēmējiem ir iespēja saņemt atbalstu kā </w:t>
      </w:r>
      <w:r w:rsidR="00000000" w:rsidRPr="00000000" w:rsidDel="00000000">
        <w:rPr>
          <w:i w:val="1"/>
          <w:rtl w:val="0"/>
        </w:rPr>
        <w:t xml:space="preserve">de minimis</w:t>
      </w:r>
      <w:r w:rsidR="00000000" w:rsidRPr="00000000" w:rsidDel="00000000">
        <w:rPr>
          <w:rtl w:val="0"/>
        </w:rPr>
        <w:t xml:space="preserve"> atbalstu, ja tie neatbilst Komisijas regulas Nr. 651/2014 21.panta 3.punkta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tie nav darbojušies nevienā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tie ir darbojušies kādā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mazāk nekā 10 gadus kopš to reģistrācijas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mazāk nekā 7 gadus kopš to pirmā komerciālās pārdošanas darījuma;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gala saņēmējiem ir nepieciešams sākotnējais ieguldījums, kurš, pamatojoties uz uzņēmējdarbības plānu, kas sagatavots attiecībā uz jaunu saimniecisko darbību, pārsniedz 50 % no iepriekšējo 5 gadu vidējā gada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atbalstu nepiešķir gala saņēmēju nozarēm un darbībām, kuras noteiktas saskaņā ar Komisijas regulas Nr. 2023/2831 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dotācijas ekvivalenta aprēķināšanas kārtību, gadījumos, kad tiek piešķirts </w:t>
      </w:r>
      <w:r w:rsidR="00000000" w:rsidRPr="00000000" w:rsidDel="00000000">
        <w:rPr>
          <w:i w:val="1"/>
          <w:rtl w:val="0"/>
        </w:rPr>
        <w:t xml:space="preserve">de minimis</w:t>
      </w:r>
      <w:r w:rsidR="00000000" w:rsidRPr="00000000" w:rsidDel="00000000">
        <w:rPr>
          <w:rtl w:val="0"/>
        </w:rPr>
        <w:t xml:space="preserve"> atbalsts. Dotācijas ekvivalenta aprēķina faktiski piemēroto procentu summu atskaitot no procentu summas, kas jāmaksā saskaņā ar Eiropas Komisijas konkrētajam periodam noteikto bāzes likmi, kā arī riska likmi, kuras procentuālais apmērs tiek noteikts atbilstoši finanšu starpnieka izsniegtajam aizdevuma saņēmēja reitingam un piedāvātajam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atbalsta kumulācijas nosacījumus, precizējot, ka kopā ar projektu iesniedz informāciju par plānoto un piešķirto komercdarbības atbalstu, norādot arī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w:t>
      </w:r>
      <w:r w:rsidR="00000000" w:rsidRPr="00000000" w:rsidDel="00000000">
        <w:rPr>
          <w:i w:val="1"/>
          <w:rtl w:val="0"/>
        </w:rPr>
        <w:t xml:space="preserve">de minimis</w:t>
      </w:r>
      <w:r w:rsidR="00000000" w:rsidRPr="00000000" w:rsidDel="00000000">
        <w:rPr>
          <w:rtl w:val="0"/>
        </w:rPr>
        <w:t xml:space="preserve"> atbalstu var piešķirt, ja </w:t>
      </w:r>
      <w:r w:rsidR="00000000" w:rsidRPr="00000000" w:rsidDel="00000000">
        <w:rPr>
          <w:i w:val="1"/>
          <w:rtl w:val="0"/>
        </w:rPr>
        <w:t xml:space="preserve">de minimis</w:t>
      </w:r>
      <w:r w:rsidR="00000000" w:rsidRPr="00000000" w:rsidDel="00000000">
        <w:rPr>
          <w:rtl w:val="0"/>
        </w:rPr>
        <w:t xml:space="preserve"> atbalsta piešķīrējiestāde – finanšu starpnieks – ir izstrādājis iekšējo procedūru par de minimis atbalsta sniegšanu, t.i. lēmumus par </w:t>
      </w:r>
      <w:r w:rsidR="00000000" w:rsidRPr="00000000" w:rsidDel="00000000">
        <w:rPr>
          <w:i w:val="1"/>
          <w:rtl w:val="0"/>
        </w:rPr>
        <w:t xml:space="preserve">de minimis</w:t>
      </w:r>
      <w:r w:rsidR="00000000" w:rsidRPr="00000000" w:rsidDel="00000000">
        <w:rPr>
          <w:rtl w:val="0"/>
        </w:rPr>
        <w:t xml:space="preserve"> atbalsta piešķiršanu var pieņemt tad, kad finanšu starpniekam ir izstrādāta iekšējā procedūra par </w:t>
      </w:r>
      <w:r w:rsidR="00000000" w:rsidRPr="00000000" w:rsidDel="00000000">
        <w:rPr>
          <w:i w:val="1"/>
          <w:rtl w:val="0"/>
        </w:rPr>
        <w:t xml:space="preserve">de minimis</w:t>
      </w:r>
      <w:r w:rsidR="00000000" w:rsidRPr="00000000" w:rsidDel="00000000">
        <w:rPr>
          <w:rtl w:val="0"/>
        </w:rPr>
        <w:t xml:space="preserve"> atbalsta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Ņemot vērā, ka programmai paredzēto publisko finansējumu 12 400 000 euro apmērā vairs nav plānots izmantot, to ir iespējams pārvirzīt citu pasākumu īstenošanai </w:t>
      </w:r>
      <w:r w:rsidR="00000000" w:rsidRPr="00000000" w:rsidDel="00000000">
        <w:rPr>
          <w:rtl w:val="0"/>
        </w:rPr>
        <w:t xml:space="preserve"> (skatīt Ekonomikas ministrijas 2024. gada maijā virzīto noteikumu projektu “Grozījumi Ministru kabineta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Papildu Nacionāla līmeņa korekcija, lai izpildītu Regulas Nr. 2021/1060 59. panta 5. punkta un 68. panta 4. punkta prasības pēc būtības, attiecībā uz pārvaldības maksu, kas attiecināma uz ERAF finansējumu (deklarējama) atkarībā no investīciju rezultāta uz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starpniekiem pārvaldības maksu sabiedrība Altum maksā saskaņā ar Iepirkuma rezultātā noteikto likmi un samaksātās summas iekļauj kārtējos maksājumu pieprasījumos.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nacionālais korekcijas mehānisms nemaina to, ka arī bez tā piemērošanas iespējkapitāla fondu pārvaldības modelis ir uz sniegumu vērsts, taču tā kā saskaņā ar Komandītsabiedrības līgumu sniegums tiks vērtēts pēc investīciju perioda beigām, kas var pārsniegt ES fondu 2021.-2027. gada plānošanas periodu, ar šo Noteikumu projektu tiek nodrošināts, ka pārvaldības maksa, kas attiecināma (deklarējama) uz ERAF finansējumu līdz 2029. gada 31. decembrim, atbilst Regulas Nr. 2021/1060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sniegšanu, Komandītsabiedrības līgumos, kas noslēgti ar Finanšu starpniekiem, ir iekļauts nosacījums, ka pārvaldības maksai, ko sabiedrība Altum maksā Finanšu starpniekam pēc ieguldījumu perioda beigām, tiek piemērots pārvaldības maksas samazinājums, ja Finanšu starpnieks investīciju periodā nav ieguldījis vismaz 70% no sabiedrības Altum parakstītā kapitāla, kas paredzēts ieguldījumiem gala saņēmējos. Ņemot vērā, ka Finanšu starpnieki lēmumu par atbalsta sniegšanu var pieņemt ieguldījumu perioda laikā, bet faktiska atbalsta izmaksa var notikt vēlāk, tad 90 dienas pēc ieguldījumu perioda ir noteikts kā atskaites punkts, lai noteiktu apjomu faktiski veiktajiem ieguldījumiem gala saņēmējos. Jānorāda, ka šis pārvaldības maksas samazinājums pēc investīciju perioda beigām ir papildu izvirzīts nacionāls nosacījums, kas ir jāievēro sabiedrībai Altum, maksājot pārvaldības maksu no sabiedrības Altum parakstītā kapitāla. Finanšu starpnieka piesaistītajiem Fonda privātajiem ieguldītājiem šis nosacījums nav saistošs, taču tie var tam pievienoties.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31.12.2029. tiek aprēķināta faktiskā katra fonda apguve un, ja nav izpildīti zemāk minētie fonda apguves rādītāji, veic korekciju pēc zemāk aprakstītās formulas. Korekcija ir vienreizēja un to, ja nepieciešams, veic pie pēdējā/noslēguma maksājuma pieprasījuma. Koriģē finanšu starpnieka pārvaldības maksas kopējo apmēru, kas finanšu starpniekam samaksāta par periodu līdz 31.12.2029. un attiecināma uz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periods = 5 gadi (60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Parakstītais kapitāls = 100% (committed capital)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maksa  = maksa, kas tiks samaksāta pārvaldniekam 10 gadu fonda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komersantos paredzētais kapitāls = Parakstītais kapitāls – Pārvaldības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uz investīciju perioda beigām (Fonda kapitāla apguve) = 70% * investīcijām komersantos paredzētais kapitāls.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 struktūrfondu attiecināmības periods nav vienāds ar fondu investīciju periodu, korekcija tiks veikta sverot pret efektīvo laiku (pilnos mēnešos), kas finanšu starpniekiem bijis investīciju veikšanai līdz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Efektīvais laiks mēnešos = no Initial closing date (pirmais noslēguma datums) līdz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Korekciju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kapitāla apguve % uz 31.12.2029. ≥ Efektīvais laiks/60 *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Korekciju 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kapitāla apguve % uz 31.12.2029. &lt; Efektīvais laiks/60 *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Fondu Investīciju periods pilnībā pārklājas ar ERAF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investīciju periods sākas 2025. gada 1. janvārī un ilgst 5 pilnus gadus, tātad, investīciju periods ir līdz 2029. gada 31. decembrim un tas 100% apmērā pārklājas ar ERAF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60"/>
        <w:gridCol w:w="1878"/>
        <w:gridCol w:w="1813"/>
        <w:gridCol w:w="1700"/>
        <w:gridCol w:w="1538"/>
        <w:tblGridChange w:id="0">
          <w:tblGrid>
            <w:gridCol w:w="1960"/>
            <w:gridCol w:w="1878"/>
            <w:gridCol w:w="1813"/>
            <w:gridCol w:w="1700"/>
            <w:gridCol w:w="15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investēt sāk (initial closing date)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efektīvais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Nepieciešamā fonda kapitāla apguve investīciju efektīvajā laikā,  lai netiktu veikta korekcija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Faktiskā fonda kapitāla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(faktiskās investīcijas komersantos no investīcijām komersantos paredzētā kapitāla) uz 31.12.2029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Veicamā korekcija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01.01.2025</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60/60= 100%</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100%*70%*=70%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Korekcija netiek piemērota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Korekcija 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55%/70%=78.6%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 Pārvaldniekam pārvaldības maksa par periodu līdz 31.12.2029. samaksāta 600 000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deklarēt (attiecināt uz ERAF) iespējams 78.6%, t.i., 471 428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21.4 % ( t.i., 128 572 EUR) nav attiecināmi uz ERAF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Fondu Investīciju periods daļēji pārklājas ar ERAF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investīciju periods sākas 2026. gada 1. janvārī un ilgst 4 pilnus gadus, tātad,  investīciju periods līdz 2029. gada 31. decembrim 80% apmērā pārklājas ar ERAF attiecināmības periodu. Lai novērtētu, vai ERAF attiecināmības periodā ir pietiekami aktīvi veiktas investīcijas, investīciju perioda mērķa investējamais apjoms (70%) ir jāņem vērā nevis pilnā apmērā, bet ievērojot to, ka investīciju periods vēl nav beidzies un vēl turpināsies. Līdz ar to investējamais apjoms ir jāaprēķina proporcionāli pret laiku, kad tas pārklājās ar ERAF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minētajā piemērā uz 2029. gada 31. decembri ir pagājuši 80% no visa kopējā investīciju perioda, tad, piemērojot proporcionalitāti pret prasību investēt vismaz 70% no investīcijām komersantos paredzētā kapitāla, uz 2029. gada 31. decembri Fondam ir jāveic investīcijas vismaz 56% no investīcijām komersantos paredzētā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60"/>
        <w:gridCol w:w="1878"/>
        <w:gridCol w:w="1813"/>
        <w:gridCol w:w="1700"/>
        <w:gridCol w:w="1538"/>
        <w:tblGridChange w:id="0">
          <w:tblGrid>
            <w:gridCol w:w="1960"/>
            <w:gridCol w:w="1878"/>
            <w:gridCol w:w="1813"/>
            <w:gridCol w:w="1700"/>
            <w:gridCol w:w="15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investēt sāk (initial closing date)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efektīvais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Nepieciešamā fonda kapitāla apguve investīciju efektīvajā laikā,  lai netiktu veikta korekcija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Faktiskā fonda kapitāla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(faktiskās investīcijas komersantos no investīcijām komersantos paredzētā kapitāla) uz 31.12.2029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Veicamā korekcija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01.01.2026</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48/60=80%</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80%*70%=56%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Korekcija netiek piemērota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Korekcija 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47%/56%=84%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 Pārvaldniekam pārvaldības maksa par periodu līdz 31.12.2029. samaksāta 600 000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deklarēt (attiecināt uz ERAF) iespējams 84%, t.i., 504 000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 t.i., 96 000 EUR) nav attiecināmi uz ERAF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nacionāla līmeņa korekcija attiecībā uz Finanšu starpniekiem izmaksāto sabiedrības Altum pārvaldības maksu, kas radusies līdz 2029. gada 31. decembrim, nemaina to, ka Finanšu starpniekiem pārvaldības maksa tiek maksāta saskaņā ar Iepirkuma rezultātā noteikto likmi, kas ir iekļauta Komandītsabiedrības līgumā, un Finanšu starpniekiem izmaksātajai pārvaldības maksai netiek piemērots samazinājums. Ja sabiedrības Altum izmaksātā pārvaldības maksa, kas radusies līdz 2029. gada 31. decembrim, nav attiecināma uz publisko finansējumu, kas ir pieejams saskaņā ar normatīvo aktu, kas nosaka Eiropas Savienības kohēzijas politikas programmas 2021.–2027. gadam ietvaros izmantojamo finanšu instrumentu īstenošanas kārtību, pieejamo finansējumu, atbalstāmās darbības un attiecināmās izmaksas (jeb MK Noteikumu Nr. 463 5.1. apakšpunktu), tad to attiecina uz Eiropas Savienības struktūrfondu un Kohēzijas fonda 2014.–2020. gada plānošanas perioda darbības programmas "Izaugsme un nodarbinātība" 3.1.2. specifiskā atbalsta mērķa "Palielināt straujas izaugsmes komersantu skaitu" 3.1.2.1. pasākuma "Riska kapitāls" atmaksām (jeb MK Noteikumu Nr. 463 5.2.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MVU.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pozitīva, jo Noteikumu projektā ir iekļauti Komisijas regulas Nr. 2023/2831 nosacījumi, kas paplašina to gala saņēmēju loku, kas var kvalificēties </w:t>
      </w:r>
      <w:r w:rsidR="00000000" w:rsidRPr="00000000" w:rsidDel="00000000">
        <w:rPr>
          <w:i w:val="1"/>
          <w:rtl w:val="0"/>
        </w:rPr>
        <w:t xml:space="preserve">de minimis</w:t>
      </w:r>
      <w:r w:rsidR="00000000" w:rsidRPr="00000000" w:rsidDel="00000000">
        <w:rPr>
          <w:rtl w:val="0"/>
        </w:rPr>
        <w:t xml:space="preserve"> atbalstam saskaņā ar MK noteikumiem Nr. 463.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pozitīva, jo Noteikumu projektā ir iekļauti Komisijas regulas Nr. 2023/2831 nosacījumi, kas gala saņēmējiem ir labvēlīgāki un sniedz iespēju pretendēt uz MK noteikumos Nr. 463 paredzēto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(Noteikumu 2.1.2.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(Noteikumu 2.1.2.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77.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 (noteikumu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18.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18.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 (noteikumu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 (noteikumu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 (noteikumu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 (noteikumu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 (noteikumu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 (noteikumu 40.1.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 (noteikumu 43.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8. un 13. punkts (noteikumu 2.3., 21.</w:t>
            </w:r>
            <w:r w:rsidR="00000000" w:rsidRPr="00000000" w:rsidDel="00000000">
              <w:rPr>
                <w:sz w:val="24"/>
                <w:vertAlign w:val="superscript"/>
                <w:rtl w:val="0"/>
              </w:rPr>
              <w:t xml:space="preserve">1</w:t>
            </w:r>
            <w:r w:rsidR="00000000" w:rsidRPr="00000000" w:rsidDel="00000000">
              <w:rPr>
                <w:sz w:val="24"/>
                <w:rtl w:val="0"/>
              </w:rPr>
              <w:t xml:space="preserve">1. apakšpunkts un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(noteikumu 21.</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 (noteikumu 22.9.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 (noteikumu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 (noteikumu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būtību, pasākuma atbalstītajām darbībām ir nebūtiska paredzamā ietekme uz vides mērķiem, ņemot vērā gan tiešās, gan primārās netiešās sekas visā aprites ciklā. Pasākuma ietvaros plānotās atbalstāmās darbības nerada siltumnīcefekta gāzu (SEG) emisijas. Tāpat netiek plānoti ieguldījumi, kas saistīti ar fosilo kurināmo (ieskaitot pakārtoto izmantošanu) un netiek plānotas darbības saskaņā ar emisijas kvotu tirdzniecības sistēmu plānotajām CO2 ekvivalenta emisijām, kā arī pasākuma mērķi neizraisa pašreizējās klimata un gaidāmās klimata nelabvēlīgās ietekmes palielināšanos uz pašu darbību vai citu cilvēkiem, dabu vai aktīviem. Tāpat pasākums nekaitē ūdensobjektu labam stāvoklim vai to labam ekoloģiskajam potenciālā, ieskaitot virszemes ūdeņus un gruntsūdeņus vai jūras ūdeņu labam vides stāvoklim, kā arī pasākums būtiski nepalielina atkritumu rašanos,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 Tādējādi tas tiek uzskatīts par atbilstīgu Nenodarīt būtisku kaitējumu attiecībā uz attiecīgajiem mērķiem. Minēto principa ievērošanu praktiski arī pārbauda finansējuma saņēmējs, vērtējot gala saņēmēja pieteiktās atbalstāmās darbības, un nepieciešamības gadījumā veic kontroljautājumu pārbaudi, ņemot vērā gala saņēmēja pieteikumā norādīto vai publiskajā telpā pieejamo informāciju. Tikai nepieciešamības gadījumā finansējuma saņēmējs var lūgt iesniegt gala saņēmējam.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w:t>
    </w:r>
    <w:r>
      <w:br/>
    </w:r>
    <w:r w:rsidR="00000000" w:rsidRPr="00000000" w:rsidDel="00000000">
      <w:rPr>
        <w:rtl w:val="0"/>
      </w:rPr>
      <w:t xml:space="preserve">Izdrukāts 29.07.2026. 22.10 - 6.0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w:t>
    </w:r>
    <w:r>
      <w:br/>
    </w:r>
    <w:r w:rsidR="00000000" w:rsidRPr="00000000" w:rsidDel="00000000">
      <w:rPr>
        <w:rtl w:val="0"/>
      </w:rPr>
      <w:t xml:space="preserve">Izdrukāts 29.07.2026. 22.10 - 6.0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anotācija_(ex_ante)_24-TA-247.docx</dc:title>
</cp:coreProperties>
</file>

<file path=docProps/custom.xml><?xml version="1.0" encoding="utf-8"?>
<Properties xmlns="http://schemas.openxmlformats.org/officeDocument/2006/custom-properties" xmlns:vt="http://schemas.openxmlformats.org/officeDocument/2006/docPropsVTypes"/>
</file>