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izložu un azartspēļu nodevu un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22. septembra sēdes protokola Nr. 38 1. § "Informatīvais ziņojums "Par valsts budžeta likumprojektā iekļaujamiem prioritārajiem pasākumiem 2026., 2027. un 2028. gadam"" 13.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izložu un azartspēļu nodevu un nodokli"" (turpmāk – likumprojekts) mērķis ir nodrošināt ieņēmumus valsts budžetā 2026. gada valdības izvirzīto prioritāšu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likumprojekta "Par valsts budžetu 2026. gadam un budžeta ietvaru 2026., 2027. un 2028. gadam" pavadošo likumprojektu paketē, kas stājas spēkā ar 2026.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4. decembrī pieņēma likumu "Grozījumi likumā "Par izložu un azartspēļu nodevu un nodokli"", kas paredz, sākot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azartspēļu automātiem (par katra azartspēļu automāta katru spēles vietu) par kalendāro gadu no 6204 euro uz 7440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ruletei un kāršu un kauliņu spēlei (par katru galdu) par kalendāro gadu no 33 696 euro uz 40 440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otrajā un trešajā daļā minētajam objektam (veiksmes spēlei pa tālruni un totalizatoram un derībām) no 15 % apmēra uz 18 %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ceturtajā daļā minētajam objektam (bingo) no 10% apmēra uz 12 %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piektajā daļā minētajam objektam (interaktīvajām azartspēlēm) no 12 % apmēra uz 15 % apmēru no šīs spēles organizēšanas ieņēmumiem.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"Par izložu un azartspēļu nodevu un nodokli" (turpmāk – likums) pārejas noteikumu 16. punkts paredz vēl viena gada pārejas periodu Saeimā 2024. gada 4. decembrī pieņemtajā likumā "Grozījumi likumā "Par izložu un azartspēļu nodevu un nodokli"" noteikto azartspēļu likmju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ieņēmumus valsts budžetā 2026. gada valdības izvirzīto prioritāšu finansēšanai, būtu nepieciešams uzsākt vienu gadu ātrāk Saeimā 2024. gada 4. decembrī pieņemtajā likumā "Grozījumi likumā "Par izložu un azartspēļu nodevu un nodokli"" noteikto azartspēļu nodokļa likmju piemērošanu, t.i.,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 panta trešajā daļā ir nepieciešams redakcionāls precizējums, lai nodrošinātu, ka likuma normas nedublējas, jo likumā azartspēļu nodokļa likmes ir noteiktas atsevišķā pantā, t.i., 3.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sākot ar 2026. 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azartspēļu automātiem (par katra azartspēļu automāta katru spēles vietu) par kalendāro gadu no 6204 euro uz 7440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ruletei un kāršu un kauliņu spēlei (par katru galdu) par kalendāro gadu no 33 696 euro uz 40 440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otrajā un trešajā daļā minētajam objektam (veiksmes spēlei pa tālruni un totalizatoram un derībām) no 15 % apmēra uz 18 %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ceturtajā daļā minētajam objektam (bingo) no 10% apmēra uz 12 %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 azartspēļu nodokļa likmi likuma 3. panta piektajā daļā minētajam objektam (interaktīvajām azartspēlēm) no 12 % apmēra uz 15 % apmēru no šīs spēles organizēšanas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likuma normas nedublējas, likumprojekts paredz redakcionāli precizēt likuma 10.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likumprojektā ietverto normu, kas paredz paaugstināt azartspēļu nodokli, sākot no 2026. gada 1. janvāra, atbilstību Latvijas Republikas Satversmes 105. panta pirmajam teikumam, secināms, ka likumprojekta normās ietvertajam pamattiesību ierobežojumam ir leģitīms mērķis, jo tas ir vērsts uz sabiedrības interešu nodrošināšanu. Likumprojektā ietvertās normas ir vērstas uz papildu ieņēmumu nodrošināšanu valsts budžetā, ko budžeta sagatavošanas procesā izmantos valdības izvirzīto prioritāšu finansēšanai. Ņemot vērā minēto, likumprojekta normās ietvertais pamattiesību ierobežojums ir samērīgs ar tā leģitīmo mērķi.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kas organizē azartspēles. Pašlaik Latvijā azartspēles organizē 19 licencēti azartspēļu organizētāji.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51 023 000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61 366 000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49 542 000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51 023 000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61 366 000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48 632 000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49 542 000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1 512 000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Saeimā 2024. gada 4. decembrī pieņemtajā likumā "Grozījumi likumā "Par izložu un azartspēļu nodevu un nodokli"" noteikto azartspēļu likmju piemērošanu paredzēts uzsākt vienu gadu ātrāk, t.i., sākot ar 2026. gada 1. janvāri, līdz ar to papildus ieņēmumi no azartspēļu nodokļa tiek prognozēti arī agrāk, proti, jau 2026. gadā. Fiskālā ietekme 2026. gadā tiek prognozēta +9,2 milj. euro apmērā. Būtiskākais devums fiskālajā ietekmē tiek prognozēts no azartspēļu nodokļa likmes paaugstināšanas azartspēļu automātiem (+3,2 milj. euro) un interaktīvajām azartspēlēm (+5,7 milj.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Prognozētais valsts pamatbudžeta ieņēmumu palielinājums 2026. gadam ir ieplānots likumprojektā "Par valsts budžetu 2026. gadam un budžeta ietvaru 2026.,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ieņēmumus valsts budžetā 2026. gada valdības izvirzīto prioritāšu finansēšanai, likumprojektā paredzētais pasākums tika izskatīts Ministru kabineta 2025. gada 22. septembra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25-TA-2279</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25-TA-2279</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anotācija_(ex_ante)_25-TA-2279.docx</dc:title>
</cp:coreProperties>
</file>

<file path=docProps/custom.xml><?xml version="1.0" encoding="utf-8"?>
<Properties xmlns="http://schemas.openxmlformats.org/officeDocument/2006/custom-properties" xmlns:vt="http://schemas.openxmlformats.org/officeDocument/2006/docPropsVTypes"/>
</file>