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4AA8" w14:textId="7E2D7510" w:rsidR="00D33E19" w:rsidRPr="001A521D" w:rsidRDefault="001A521D" w:rsidP="001A521D">
      <w:pPr>
        <w:jc w:val="center"/>
        <w:rPr>
          <w:b/>
          <w:bCs/>
          <w:szCs w:val="24"/>
        </w:rPr>
      </w:pPr>
      <w:r w:rsidRPr="001A521D">
        <w:rPr>
          <w:b/>
          <w:bCs/>
          <w:szCs w:val="24"/>
        </w:rPr>
        <w:t>Ietekmes uz tautsaimniecību novērtējums Eiropas Savienības kohēzijas politikas programmas 2021. – 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 ietvaros</w:t>
      </w:r>
    </w:p>
    <w:p w14:paraId="2559D083" w14:textId="77777777" w:rsidR="001A521D" w:rsidRDefault="001A521D" w:rsidP="001A521D">
      <w:pPr>
        <w:jc w:val="left"/>
        <w:rPr>
          <w:szCs w:val="24"/>
        </w:rPr>
      </w:pPr>
    </w:p>
    <w:p w14:paraId="170D117E" w14:textId="77777777" w:rsidR="001A521D" w:rsidRDefault="001A521D" w:rsidP="001A521D">
      <w:pPr>
        <w:jc w:val="left"/>
        <w:rPr>
          <w:szCs w:val="24"/>
        </w:rPr>
      </w:pPr>
    </w:p>
    <w:p w14:paraId="16F52677" w14:textId="102D110B" w:rsidR="001A521D" w:rsidRDefault="001A521D" w:rsidP="001A521D">
      <w:r w:rsidRPr="0089716E">
        <w:rPr>
          <w:szCs w:val="24"/>
        </w:rPr>
        <w:t xml:space="preserve">Šis izvērtējuma pamatuzdevums ir </w:t>
      </w:r>
      <w:r>
        <w:rPr>
          <w:szCs w:val="24"/>
        </w:rPr>
        <w:t xml:space="preserve">noteikt </w:t>
      </w:r>
      <w:r w:rsidRPr="001A521D">
        <w:rPr>
          <w:szCs w:val="24"/>
        </w:rPr>
        <w:t>Eiropas Savienības kohēzijas politikas programmas 2021. – 2027. gadam 4.1.2. specifiskā atbalsta mērķa "Uzlabot vienlīdzīgu un savlaicīgu piekļuvi kvalitatīviem, ilgtspējīgiem un izmaksu ziņā pieejamiem veselības aprūpes, veselības veicināšanas un slimību profilakses pakalpojumiem, uzlabojot veselības aprūpes sistēmu efektivitāti un izturētspēju"</w:t>
      </w:r>
      <w:r w:rsidR="00AD4D0A">
        <w:rPr>
          <w:szCs w:val="24"/>
        </w:rPr>
        <w:t xml:space="preserve"> (turpmāk – 4.1.2. SAM)</w:t>
      </w:r>
      <w:r w:rsidRPr="001A521D">
        <w:rPr>
          <w:szCs w:val="24"/>
        </w:rPr>
        <w:t xml:space="preserve"> ietvaros</w:t>
      </w:r>
      <w:r>
        <w:rPr>
          <w:szCs w:val="24"/>
        </w:rPr>
        <w:t xml:space="preserve"> īstenojamo pasākumu ietekmi uz tautsaimniecību, tostarp arī </w:t>
      </w:r>
      <w:r w:rsidR="00AD4D0A" w:rsidRPr="000E21E9">
        <w:rPr>
          <w:rFonts w:eastAsia="TimesNewRoman"/>
        </w:rPr>
        <w:t xml:space="preserve">izvērtēt </w:t>
      </w:r>
      <w:r w:rsidR="00AD4D0A" w:rsidRPr="0089716E">
        <w:rPr>
          <w:szCs w:val="24"/>
        </w:rPr>
        <w:t>veikto pasākumu efektivitāt</w:t>
      </w:r>
      <w:r w:rsidR="00AD4D0A">
        <w:rPr>
          <w:szCs w:val="24"/>
        </w:rPr>
        <w:t>i</w:t>
      </w:r>
      <w:r w:rsidR="00AD4D0A" w:rsidRPr="0089716E">
        <w:rPr>
          <w:szCs w:val="24"/>
        </w:rPr>
        <w:t xml:space="preserve"> un to ietekm</w:t>
      </w:r>
      <w:r w:rsidR="00AD4D0A">
        <w:rPr>
          <w:szCs w:val="24"/>
        </w:rPr>
        <w:t>i</w:t>
      </w:r>
      <w:r w:rsidR="00AD4D0A" w:rsidRPr="0089716E">
        <w:rPr>
          <w:szCs w:val="24"/>
        </w:rPr>
        <w:t xml:space="preserve"> uz sabiedrības veselības rādītājiem</w:t>
      </w:r>
      <w:r w:rsidR="00AD4D0A">
        <w:rPr>
          <w:rFonts w:eastAsia="TimesNewRoman"/>
        </w:rPr>
        <w:t>.</w:t>
      </w:r>
      <w:r w:rsidR="00AD4D0A" w:rsidRPr="002E6999">
        <w:t xml:space="preserve"> Izvērtējuma pieeja balstās uz visaptverošu datu statistisku apkopojumu un kvanti</w:t>
      </w:r>
      <w:r w:rsidR="00AD4D0A">
        <w:t>tatīvu/kvalitatīvu analīzi.</w:t>
      </w:r>
      <w:r w:rsidR="00AD4D0A" w:rsidRPr="00AD4D0A">
        <w:t xml:space="preserve"> </w:t>
      </w:r>
      <w:r w:rsidR="00AD4D0A" w:rsidRPr="002E6999">
        <w:t xml:space="preserve">Dati apkopoti par </w:t>
      </w:r>
      <w:r w:rsidR="00AD4D0A">
        <w:t>4.1.2. SAM finansējumu</w:t>
      </w:r>
      <w:r w:rsidR="00AD4D0A" w:rsidRPr="002E6999">
        <w:t xml:space="preserve">, </w:t>
      </w:r>
      <w:r w:rsidR="00AD4D0A">
        <w:t>4.1.2. SAM</w:t>
      </w:r>
      <w:r w:rsidR="00AD4D0A" w:rsidRPr="002E6999">
        <w:t xml:space="preserve"> rezultātu rādītājiem</w:t>
      </w:r>
      <w:r w:rsidR="00AD4D0A">
        <w:t xml:space="preserve">, </w:t>
      </w:r>
      <w:r w:rsidR="00AD4D0A" w:rsidRPr="00AD4D0A">
        <w:t>Sabiedrības veselības pamatnostādn</w:t>
      </w:r>
      <w:r w:rsidR="00AD4D0A">
        <w:t>ē</w:t>
      </w:r>
      <w:r w:rsidR="00AD4D0A" w:rsidRPr="00AD4D0A">
        <w:t>s 2011.–2017. gadam</w:t>
      </w:r>
      <w:r w:rsidR="00AD4D0A">
        <w:t xml:space="preserve"> </w:t>
      </w:r>
      <w:r w:rsidR="00A23706">
        <w:t>izvirzītajiem</w:t>
      </w:r>
      <w:r w:rsidR="00AD4D0A">
        <w:t xml:space="preserve"> mērķiem</w:t>
      </w:r>
      <w:r w:rsidR="00A23706">
        <w:t>.</w:t>
      </w:r>
      <w:r w:rsidR="00AD4D0A">
        <w:t xml:space="preserve"> Izvērtējumā izmantoto datu un datu analīzes pieejas apkopotas izvērtējuma pielikumā.</w:t>
      </w:r>
    </w:p>
    <w:p w14:paraId="39E7B135" w14:textId="77777777" w:rsidR="00A23706" w:rsidRDefault="00A23706" w:rsidP="001A521D"/>
    <w:p w14:paraId="07434873" w14:textId="08594906" w:rsidR="005C079B" w:rsidRPr="005C079B" w:rsidRDefault="005C079B" w:rsidP="005C079B">
      <w:pPr>
        <w:rPr>
          <w:szCs w:val="24"/>
        </w:rPr>
      </w:pPr>
      <w:r w:rsidRPr="005C079B">
        <w:rPr>
          <w:szCs w:val="24"/>
        </w:rPr>
        <w:t xml:space="preserve">Lai uzlabotu situāciju un noteiktu stratēģiskos rīcības virzienus, ir izstrādātas Sabiedrības veselības pamatnostādnes 2021. - 2027. gadam (turpmāk - </w:t>
      </w:r>
      <w:r>
        <w:rPr>
          <w:szCs w:val="24"/>
        </w:rPr>
        <w:t>Pamatnostādnes</w:t>
      </w:r>
      <w:r w:rsidRPr="005C079B">
        <w:rPr>
          <w:szCs w:val="24"/>
        </w:rPr>
        <w:t xml:space="preserve">), kuru izstrādē veikta esošā veselības aprūpes sistēmas analīze. Sabiedrības veselības politikas mērķis ir uzlabot Latvijas iedzīvotāju veselību, pagarinot labā veselībā nodzīvoto mūžu, novēršot priekšlaicīgu mirstību un mazinot nevienlīdzību veselības jomā. </w:t>
      </w:r>
      <w:r>
        <w:rPr>
          <w:szCs w:val="24"/>
        </w:rPr>
        <w:t>Pamatnostādnes</w:t>
      </w:r>
      <w:r w:rsidRPr="005C079B">
        <w:rPr>
          <w:szCs w:val="24"/>
        </w:rPr>
        <w:t xml:space="preserve"> paredz pasākumu kopumu, kas vērsti uz to, lai nodrošinātu kvalitatīvus un efektīvus veselības aprūpes pakalpojumus, to sniegšanai nepieciešamos cilvēkresursus un infrastruktūru, attiecīgi nosakot 5 stratēģiskos rīcības virzienus:</w:t>
      </w:r>
    </w:p>
    <w:p w14:paraId="3B3F1BD3" w14:textId="77777777" w:rsidR="005C079B" w:rsidRPr="005C079B" w:rsidRDefault="005C079B" w:rsidP="005C079B">
      <w:pPr>
        <w:rPr>
          <w:szCs w:val="24"/>
        </w:rPr>
      </w:pPr>
      <w:r w:rsidRPr="005C079B">
        <w:rPr>
          <w:szCs w:val="24"/>
        </w:rPr>
        <w:t>1) Veselīgs un aktīvs dzīvesveids;</w:t>
      </w:r>
    </w:p>
    <w:p w14:paraId="7F1B4265" w14:textId="77777777" w:rsidR="005C079B" w:rsidRPr="005C079B" w:rsidRDefault="005C079B" w:rsidP="005C079B">
      <w:pPr>
        <w:rPr>
          <w:szCs w:val="24"/>
        </w:rPr>
      </w:pPr>
      <w:r w:rsidRPr="005C079B">
        <w:rPr>
          <w:szCs w:val="24"/>
        </w:rPr>
        <w:t>2) Infekcijas izplatības mazināšana;</w:t>
      </w:r>
    </w:p>
    <w:p w14:paraId="53CF073D" w14:textId="77777777" w:rsidR="005C079B" w:rsidRPr="005C079B" w:rsidRDefault="005C079B" w:rsidP="005C079B">
      <w:pPr>
        <w:rPr>
          <w:szCs w:val="24"/>
        </w:rPr>
      </w:pPr>
      <w:r w:rsidRPr="005C079B">
        <w:rPr>
          <w:szCs w:val="24"/>
        </w:rPr>
        <w:t>3) Veselības aprūpes pakalpojumi (ambulatori, stacionāri, tarifi, zāles);</w:t>
      </w:r>
    </w:p>
    <w:p w14:paraId="48559463" w14:textId="77777777" w:rsidR="005C079B" w:rsidRPr="005C079B" w:rsidRDefault="005C079B" w:rsidP="005C079B">
      <w:pPr>
        <w:rPr>
          <w:szCs w:val="24"/>
        </w:rPr>
      </w:pPr>
      <w:r w:rsidRPr="005C079B">
        <w:rPr>
          <w:szCs w:val="24"/>
        </w:rPr>
        <w:t>4) Cilvēkresursi;</w:t>
      </w:r>
    </w:p>
    <w:p w14:paraId="663E8882" w14:textId="77777777" w:rsidR="005C079B" w:rsidRDefault="005C079B" w:rsidP="005C079B">
      <w:pPr>
        <w:rPr>
          <w:szCs w:val="24"/>
        </w:rPr>
      </w:pPr>
      <w:r w:rsidRPr="005C079B">
        <w:rPr>
          <w:szCs w:val="24"/>
        </w:rPr>
        <w:t xml:space="preserve">5) Veselības aprūpes ilgtspēja, pārvaldības stiprināšana, efektīva veselības aprūpes resursu izmantošana. </w:t>
      </w:r>
    </w:p>
    <w:p w14:paraId="6C3AADD8" w14:textId="77777777" w:rsidR="00560D3C" w:rsidRDefault="009C7DCB" w:rsidP="00560D3C">
      <w:r w:rsidRPr="009C7DCB">
        <w:rPr>
          <w:szCs w:val="24"/>
        </w:rPr>
        <w:t>Pamatnostādņu virzien</w:t>
      </w:r>
      <w:r w:rsidR="00237F1D">
        <w:rPr>
          <w:szCs w:val="24"/>
        </w:rPr>
        <w:t>a</w:t>
      </w:r>
      <w:r w:rsidRPr="009C7DCB">
        <w:rPr>
          <w:szCs w:val="24"/>
        </w:rPr>
        <w:t xml:space="preserve"> "Veselīgs un aktīvs dzīvesveids" </w:t>
      </w:r>
      <w:r w:rsidR="00237F1D">
        <w:rPr>
          <w:szCs w:val="24"/>
        </w:rPr>
        <w:t>sasniegšanai</w:t>
      </w:r>
      <w:r w:rsidRPr="009C7DCB">
        <w:rPr>
          <w:szCs w:val="24"/>
        </w:rPr>
        <w:t xml:space="preserve"> V</w:t>
      </w:r>
      <w:r>
        <w:rPr>
          <w:szCs w:val="24"/>
        </w:rPr>
        <w:t>eselības ministrija</w:t>
      </w:r>
      <w:r w:rsidRPr="009C7DCB">
        <w:rPr>
          <w:szCs w:val="24"/>
        </w:rPr>
        <w:t xml:space="preserve"> sadarbībā ar padotības iestādēm īstenos nacionālā līmeņa pasākumus</w:t>
      </w:r>
      <w:r w:rsidR="00237F1D">
        <w:rPr>
          <w:szCs w:val="24"/>
        </w:rPr>
        <w:t xml:space="preserve"> (</w:t>
      </w:r>
      <w:r w:rsidR="00237F1D">
        <w:t>4.1.2. SAM 4.1.2.1. pasākums “</w:t>
      </w:r>
      <w:r w:rsidR="00237F1D" w:rsidRPr="00237F1D">
        <w:t>Nacionāla mēroga veselības veicināšanas un slimību profilakses pasākumi</w:t>
      </w:r>
      <w:r w:rsidR="00237F1D">
        <w:t>”)</w:t>
      </w:r>
      <w:r w:rsidRPr="009C7DCB">
        <w:rPr>
          <w:szCs w:val="24"/>
        </w:rPr>
        <w:t xml:space="preserve">, savukārt </w:t>
      </w:r>
      <w:r w:rsidR="00237F1D">
        <w:t>4.1.2. SAM</w:t>
      </w:r>
      <w:r w:rsidR="00237F1D" w:rsidRPr="002E6999">
        <w:t xml:space="preserve"> </w:t>
      </w:r>
      <w:r w:rsidR="00237F1D">
        <w:t xml:space="preserve">4.1.2.2. </w:t>
      </w:r>
      <w:r w:rsidR="00237F1D" w:rsidRPr="00237F1D">
        <w:t xml:space="preserve">pasākuma "Veselības veicināšanas un slimību profilakses pasākumu īstenošana vietējai sabiedrībai" </w:t>
      </w:r>
      <w:r w:rsidR="00237F1D">
        <w:t xml:space="preserve">ietvaros </w:t>
      </w:r>
      <w:r w:rsidRPr="009C7DCB">
        <w:rPr>
          <w:szCs w:val="24"/>
        </w:rPr>
        <w:t>pašvaldības nodrošinās lokālā līmeņa veselības veicināšanas un slimību profilakses pasākumus vietējā sabiedrībā.</w:t>
      </w:r>
      <w:r w:rsidR="00780A3F">
        <w:rPr>
          <w:szCs w:val="24"/>
        </w:rPr>
        <w:t xml:space="preserve"> </w:t>
      </w:r>
      <w:r w:rsidR="00237F1D">
        <w:rPr>
          <w:szCs w:val="24"/>
        </w:rPr>
        <w:t>L</w:t>
      </w:r>
      <w:r w:rsidR="00237F1D" w:rsidRPr="005C079B">
        <w:rPr>
          <w:szCs w:val="24"/>
        </w:rPr>
        <w:t xml:space="preserve">ai risinātu cilvēkresursu nodrošinājuma problēmas veselības jomā, kā arī mazinātu sabiedrības veselības krīžu izraisītās sekas, </w:t>
      </w:r>
      <w:r w:rsidR="00237F1D">
        <w:t>4.1.2. SAM</w:t>
      </w:r>
      <w:r w:rsidR="00237F1D" w:rsidRPr="002E6999">
        <w:t xml:space="preserve"> </w:t>
      </w:r>
      <w:r w:rsidR="00237F1D" w:rsidRPr="005C079B">
        <w:rPr>
          <w:szCs w:val="24"/>
        </w:rPr>
        <w:t>4.1.2.5.</w:t>
      </w:r>
      <w:r w:rsidR="00237F1D">
        <w:rPr>
          <w:szCs w:val="24"/>
        </w:rPr>
        <w:t xml:space="preserve"> pasākuma “</w:t>
      </w:r>
      <w:r w:rsidR="00237F1D" w:rsidRPr="00237F1D">
        <w:rPr>
          <w:szCs w:val="24"/>
        </w:rPr>
        <w:t>Piesaistīt un noturēt ārstniecības personas darbam valsts apmaksāto veselības aprūpes pakalpojumu sektorā, īpaši stacionāros”</w:t>
      </w:r>
      <w:r w:rsidR="00237F1D" w:rsidRPr="005C079B">
        <w:rPr>
          <w:szCs w:val="24"/>
        </w:rPr>
        <w:t xml:space="preserve"> ietvaros, tiks sniegts atbalsts ārstniecības personām par profesionālās darbības uzsākšanu vai atsākšanu valsts apmaksāto veselības aprūpes pakalpojumu sniegšanā.</w:t>
      </w:r>
      <w:r w:rsidR="00237F1D">
        <w:rPr>
          <w:szCs w:val="24"/>
        </w:rPr>
        <w:t xml:space="preserve"> </w:t>
      </w:r>
      <w:r w:rsidR="00237F1D">
        <w:t>4.1.2. SAM</w:t>
      </w:r>
      <w:r w:rsidR="00237F1D" w:rsidRPr="002E6999">
        <w:t xml:space="preserve"> </w:t>
      </w:r>
      <w:r w:rsidR="00237F1D" w:rsidRPr="005C079B">
        <w:rPr>
          <w:szCs w:val="24"/>
        </w:rPr>
        <w:t>4.1.2.</w:t>
      </w:r>
      <w:r w:rsidR="00237F1D">
        <w:rPr>
          <w:szCs w:val="24"/>
        </w:rPr>
        <w:t>6</w:t>
      </w:r>
      <w:r w:rsidR="00237F1D" w:rsidRPr="005C079B">
        <w:rPr>
          <w:szCs w:val="24"/>
        </w:rPr>
        <w:t>.</w:t>
      </w:r>
      <w:r w:rsidR="00237F1D">
        <w:rPr>
          <w:szCs w:val="24"/>
        </w:rPr>
        <w:t xml:space="preserve"> pasākuma “</w:t>
      </w:r>
      <w:r w:rsidR="00237F1D" w:rsidRPr="00237F1D">
        <w:rPr>
          <w:szCs w:val="24"/>
        </w:rPr>
        <w:t>Uzlabot izglītības iespējas ārstniecības personām, t.sk. uzlabojot tālākizglītības pieejamību"</w:t>
      </w:r>
      <w:r w:rsidR="00237F1D">
        <w:rPr>
          <w:szCs w:val="24"/>
        </w:rPr>
        <w:t xml:space="preserve"> ietvaros </w:t>
      </w:r>
      <w:r w:rsidR="005C079B" w:rsidRPr="005C079B">
        <w:rPr>
          <w:szCs w:val="24"/>
        </w:rPr>
        <w:t>tiks sekmēta ārstniecības personu un ārstniecības atbalsta personu profesionālās pilnveides nodrošināšana, tālākizglītības sistēmas izveide, uzturēšana un attīstība, izcilības centru darbības nodrošināšana zināšanu pārnesē, atbalsts rezidentu apmācībām īpaši atbalstāmajās specialitātēs.</w:t>
      </w:r>
      <w:r w:rsidR="005C079B">
        <w:rPr>
          <w:szCs w:val="24"/>
        </w:rPr>
        <w:t xml:space="preserve"> </w:t>
      </w:r>
      <w:r w:rsidR="00517ECD" w:rsidRPr="00517ECD">
        <w:rPr>
          <w:szCs w:val="24"/>
        </w:rPr>
        <w:t xml:space="preserve">Lai uzlabotu veselības aprūpes sistēmas efektivitāti, pacientu drošību, pakalpojumu kvalitāti un pacientu medicīniskās aprūpes pēctecību un pieejamību, </w:t>
      </w:r>
      <w:r w:rsidR="00237F1D">
        <w:t>4.1.2. SAM</w:t>
      </w:r>
      <w:r w:rsidR="00237F1D" w:rsidRPr="002E6999">
        <w:t xml:space="preserve"> </w:t>
      </w:r>
      <w:r w:rsidR="00237F1D" w:rsidRPr="005C079B">
        <w:rPr>
          <w:szCs w:val="24"/>
        </w:rPr>
        <w:t>4.1.2.</w:t>
      </w:r>
      <w:r w:rsidR="00237F1D">
        <w:rPr>
          <w:szCs w:val="24"/>
        </w:rPr>
        <w:t>7</w:t>
      </w:r>
      <w:r w:rsidR="00237F1D" w:rsidRPr="005C079B">
        <w:rPr>
          <w:szCs w:val="24"/>
        </w:rPr>
        <w:t>.</w:t>
      </w:r>
      <w:r w:rsidR="00237F1D">
        <w:rPr>
          <w:szCs w:val="24"/>
        </w:rPr>
        <w:t xml:space="preserve"> pasākuma “</w:t>
      </w:r>
      <w:r w:rsidR="00237F1D" w:rsidRPr="00237F1D">
        <w:rPr>
          <w:szCs w:val="24"/>
        </w:rPr>
        <w:t>Pilnveidot pacientu drošību un aprūpes kvalitāti</w:t>
      </w:r>
      <w:r w:rsidR="00237F1D">
        <w:rPr>
          <w:szCs w:val="24"/>
        </w:rPr>
        <w:t xml:space="preserve">” tiks </w:t>
      </w:r>
      <w:r w:rsidR="00517ECD">
        <w:rPr>
          <w:szCs w:val="24"/>
        </w:rPr>
        <w:t xml:space="preserve">īstenoti dažādi </w:t>
      </w:r>
      <w:r w:rsidR="00517ECD">
        <w:t>zināšanu un prasmju pilnveides pasākumi pacientu drošības un veselības aprūpes kvalitātes vadības jautājumos, kā arī</w:t>
      </w:r>
      <w:r w:rsidR="00517ECD">
        <w:rPr>
          <w:szCs w:val="24"/>
        </w:rPr>
        <w:t xml:space="preserve"> sabiedrības informēšanas pasākumi par </w:t>
      </w:r>
      <w:r w:rsidR="00517ECD">
        <w:t>veselības aprūpes pakalpojumu saņemšanas iespējām un aktualitātēm nozarē</w:t>
      </w:r>
      <w:r w:rsidR="00517ECD">
        <w:rPr>
          <w:szCs w:val="24"/>
        </w:rPr>
        <w:t xml:space="preserve">. </w:t>
      </w:r>
      <w:r w:rsidR="00780A3F">
        <w:rPr>
          <w:szCs w:val="24"/>
        </w:rPr>
        <w:t xml:space="preserve">Tāpat </w:t>
      </w:r>
      <w:r w:rsidR="00780A3F">
        <w:t>4.1.2. SAM</w:t>
      </w:r>
      <w:r w:rsidR="00780A3F" w:rsidRPr="002E6999">
        <w:t xml:space="preserve"> </w:t>
      </w:r>
      <w:r w:rsidR="00780A3F">
        <w:t>4.1.2.8. pasākuma “</w:t>
      </w:r>
      <w:r w:rsidR="00780A3F" w:rsidRPr="00780A3F">
        <w:t xml:space="preserve">Nevalstisko organizāciju iesaiste veselības </w:t>
      </w:r>
      <w:r w:rsidR="00780A3F" w:rsidRPr="00780A3F">
        <w:lastRenderedPageBreak/>
        <w:t>veicināšanas un slimību profilakses pasākumu īstenošanā</w:t>
      </w:r>
      <w:r w:rsidR="00780A3F">
        <w:t xml:space="preserve">” ietvaros plānoti ieguldījumi, kas veicinās </w:t>
      </w:r>
      <w:r w:rsidR="00780A3F" w:rsidRPr="00780A3F">
        <w:t>Latvijas iedzīvotāju veselīb</w:t>
      </w:r>
      <w:r w:rsidR="00780A3F">
        <w:t>as</w:t>
      </w:r>
      <w:r w:rsidR="00780A3F" w:rsidRPr="00780A3F">
        <w:t xml:space="preserve"> </w:t>
      </w:r>
      <w:r w:rsidR="00780A3F">
        <w:t>uzlabošanu un Pamatnostādnēs noteikto mērķu sasniegšanu.</w:t>
      </w:r>
    </w:p>
    <w:p w14:paraId="26ADE91F" w14:textId="6B5F8173" w:rsidR="00560D3C" w:rsidRDefault="00560D3C" w:rsidP="00560D3C">
      <w:r>
        <w:t xml:space="preserve">Visiem iepriekš minētajiem 4.1.2. SAM ietvaros īstenojamajiem pasākumiem ir būtiska ietekme uz </w:t>
      </w:r>
      <w:r>
        <w:rPr>
          <w:szCs w:val="24"/>
        </w:rPr>
        <w:t xml:space="preserve">Pamatnostādnēs uzstādīto mērķu sasniegšanu, </w:t>
      </w:r>
      <w:r w:rsidR="00B91394">
        <w:rPr>
          <w:szCs w:val="24"/>
        </w:rPr>
        <w:t xml:space="preserve">tostarp </w:t>
      </w:r>
      <w:r w:rsidR="00126D92">
        <w:rPr>
          <w:szCs w:val="24"/>
        </w:rPr>
        <w:t xml:space="preserve">arī </w:t>
      </w:r>
      <w:r w:rsidR="00B91394">
        <w:rPr>
          <w:szCs w:val="24"/>
        </w:rPr>
        <w:t xml:space="preserve">uz Latvijas iedzīvotāju veselības </w:t>
      </w:r>
      <w:r w:rsidR="00126D92">
        <w:rPr>
          <w:szCs w:val="24"/>
        </w:rPr>
        <w:t>stāvokli</w:t>
      </w:r>
      <w:r w:rsidR="00B91394">
        <w:rPr>
          <w:szCs w:val="24"/>
        </w:rPr>
        <w:t xml:space="preserve"> kopumā</w:t>
      </w:r>
      <w:r w:rsidR="00126D92">
        <w:rPr>
          <w:szCs w:val="24"/>
        </w:rPr>
        <w:t>, dzīves kvalitāti un ekonomisko attīstību valstī</w:t>
      </w:r>
      <w:r>
        <w:t xml:space="preserve">. </w:t>
      </w:r>
    </w:p>
    <w:p w14:paraId="5990BAED" w14:textId="31B84564" w:rsidR="00780A3F" w:rsidRDefault="00B91394" w:rsidP="00560D3C">
      <w:r>
        <w:t xml:space="preserve">Pilns izvērtējums </w:t>
      </w:r>
      <w:r>
        <w:rPr>
          <w:szCs w:val="24"/>
        </w:rPr>
        <w:t>4.1.2. SAM</w:t>
      </w:r>
      <w:r w:rsidRPr="001A521D">
        <w:rPr>
          <w:szCs w:val="24"/>
        </w:rPr>
        <w:t xml:space="preserve"> ietvaros</w:t>
      </w:r>
      <w:r>
        <w:rPr>
          <w:szCs w:val="24"/>
        </w:rPr>
        <w:t xml:space="preserve"> īstenojamo pasākumu ietekmei</w:t>
      </w:r>
      <w:r w:rsidR="00780A3F">
        <w:rPr>
          <w:szCs w:val="24"/>
        </w:rPr>
        <w:t xml:space="preserve"> </w:t>
      </w:r>
      <w:r>
        <w:rPr>
          <w:szCs w:val="24"/>
        </w:rPr>
        <w:t xml:space="preserve">uz tautsaimniecību aptver ļoti plašu jautājumu loku, tādēļ, ievērojot </w:t>
      </w:r>
      <w:r w:rsidRPr="0089716E">
        <w:rPr>
          <w:szCs w:val="24"/>
        </w:rPr>
        <w:t>izvērtējuma veikšanai ierobežoto laiku</w:t>
      </w:r>
      <w:r>
        <w:rPr>
          <w:szCs w:val="24"/>
        </w:rPr>
        <w:t xml:space="preserve">, </w:t>
      </w:r>
      <w:r w:rsidRPr="0089716E">
        <w:rPr>
          <w:szCs w:val="24"/>
        </w:rPr>
        <w:t xml:space="preserve">tika </w:t>
      </w:r>
      <w:r>
        <w:rPr>
          <w:szCs w:val="24"/>
        </w:rPr>
        <w:t xml:space="preserve">pieņemts, ka 4.1.2. SAM </w:t>
      </w:r>
      <w:r w:rsidR="00126D92">
        <w:rPr>
          <w:szCs w:val="24"/>
        </w:rPr>
        <w:t xml:space="preserve">ietvaros īstenojamie </w:t>
      </w:r>
      <w:r>
        <w:rPr>
          <w:szCs w:val="24"/>
        </w:rPr>
        <w:t xml:space="preserve">pasākumi galvenokārt </w:t>
      </w:r>
      <w:r w:rsidR="00126D92">
        <w:rPr>
          <w:szCs w:val="24"/>
        </w:rPr>
        <w:t xml:space="preserve">ietekmēs </w:t>
      </w:r>
      <w:r w:rsidR="00A53F2A">
        <w:rPr>
          <w:szCs w:val="24"/>
        </w:rPr>
        <w:t xml:space="preserve">sekojošo </w:t>
      </w:r>
      <w:r w:rsidR="00126D92">
        <w:rPr>
          <w:szCs w:val="24"/>
        </w:rPr>
        <w:t>Pamatnostādnēs noteikto rādītāju sasniegšanu</w:t>
      </w:r>
      <w:r>
        <w:rPr>
          <w:szCs w:val="24"/>
        </w:rPr>
        <w:t xml:space="preserve"> </w:t>
      </w:r>
      <w:r w:rsidR="00126D92">
        <w:rPr>
          <w:szCs w:val="24"/>
        </w:rPr>
        <w:t xml:space="preserve">- </w:t>
      </w:r>
      <w:r w:rsidR="00126D92">
        <w:t>“potenciāli zaudētie mūža gadi uz 100 000 iedzīvotājiem līdz 69 gadu vecumam (vīriešiem/sievietēm)” un “v</w:t>
      </w:r>
      <w:r w:rsidR="00126D92" w:rsidRPr="00DC6154">
        <w:t>eselīgi nodzīvotie mūža gadi vīriešiem un sievietēm</w:t>
      </w:r>
      <w:r w:rsidR="00126D92">
        <w:t>”.</w:t>
      </w:r>
    </w:p>
    <w:p w14:paraId="533CF450" w14:textId="77777777" w:rsidR="00A53F2A" w:rsidRDefault="00126D92" w:rsidP="00560D3C">
      <w:pPr>
        <w:rPr>
          <w:rFonts w:eastAsia="Calibri"/>
          <w:szCs w:val="24"/>
        </w:rPr>
      </w:pPr>
      <w:r>
        <w:t xml:space="preserve">Viens no diviem iepriekš minētajiem mērķiem ir potenciāli zaudēto mūža gadu (turpmāk – PZMG) </w:t>
      </w:r>
      <w:r w:rsidR="00D16E3F">
        <w:t>samazināšana</w:t>
      </w:r>
      <w:r>
        <w:t xml:space="preserve"> uz </w:t>
      </w:r>
      <w:r w:rsidRPr="0089716E">
        <w:rPr>
          <w:bCs/>
          <w:kern w:val="36"/>
          <w:szCs w:val="24"/>
        </w:rPr>
        <w:t>100 000 iedzīvotājiem no 6</w:t>
      </w:r>
      <w:r>
        <w:rPr>
          <w:bCs/>
          <w:kern w:val="36"/>
          <w:szCs w:val="24"/>
        </w:rPr>
        <w:t xml:space="preserve"> 762</w:t>
      </w:r>
      <w:r w:rsidRPr="0089716E">
        <w:rPr>
          <w:bCs/>
          <w:kern w:val="36"/>
          <w:szCs w:val="24"/>
        </w:rPr>
        <w:t xml:space="preserve"> </w:t>
      </w:r>
      <w:r w:rsidR="00A53F2A">
        <w:rPr>
          <w:bCs/>
          <w:kern w:val="36"/>
          <w:szCs w:val="24"/>
        </w:rPr>
        <w:t>gadu skaita</w:t>
      </w:r>
      <w:r w:rsidRPr="0089716E">
        <w:rPr>
          <w:bCs/>
          <w:kern w:val="36"/>
          <w:szCs w:val="24"/>
        </w:rPr>
        <w:t xml:space="preserve"> līdz 5</w:t>
      </w:r>
      <w:r w:rsidR="00A53F2A">
        <w:rPr>
          <w:bCs/>
          <w:kern w:val="36"/>
          <w:szCs w:val="24"/>
        </w:rPr>
        <w:t> </w:t>
      </w:r>
      <w:r>
        <w:rPr>
          <w:bCs/>
          <w:kern w:val="36"/>
          <w:szCs w:val="24"/>
        </w:rPr>
        <w:t>7</w:t>
      </w:r>
      <w:r w:rsidRPr="0089716E">
        <w:rPr>
          <w:bCs/>
          <w:kern w:val="36"/>
          <w:szCs w:val="24"/>
        </w:rPr>
        <w:t>00</w:t>
      </w:r>
      <w:r w:rsidR="00A53F2A">
        <w:rPr>
          <w:bCs/>
          <w:kern w:val="36"/>
          <w:szCs w:val="24"/>
        </w:rPr>
        <w:t xml:space="preserve"> gadu skaitam laika periodā no 2019. gada </w:t>
      </w:r>
      <w:r w:rsidR="00D16E3F">
        <w:rPr>
          <w:bCs/>
          <w:kern w:val="36"/>
          <w:szCs w:val="24"/>
        </w:rPr>
        <w:t xml:space="preserve">līdz </w:t>
      </w:r>
      <w:r w:rsidRPr="0089716E">
        <w:rPr>
          <w:bCs/>
          <w:kern w:val="36"/>
          <w:szCs w:val="24"/>
        </w:rPr>
        <w:t>202</w:t>
      </w:r>
      <w:r>
        <w:rPr>
          <w:bCs/>
          <w:kern w:val="36"/>
          <w:szCs w:val="24"/>
        </w:rPr>
        <w:t>7</w:t>
      </w:r>
      <w:r w:rsidRPr="0089716E">
        <w:rPr>
          <w:bCs/>
          <w:kern w:val="36"/>
          <w:szCs w:val="24"/>
        </w:rPr>
        <w:t>. gad</w:t>
      </w:r>
      <w:r w:rsidR="00D16E3F">
        <w:rPr>
          <w:bCs/>
          <w:kern w:val="36"/>
          <w:szCs w:val="24"/>
        </w:rPr>
        <w:t>am</w:t>
      </w:r>
      <w:r>
        <w:rPr>
          <w:bCs/>
          <w:kern w:val="36"/>
          <w:szCs w:val="24"/>
        </w:rPr>
        <w:t xml:space="preserve"> </w:t>
      </w:r>
      <w:r w:rsidRPr="0089716E">
        <w:rPr>
          <w:rFonts w:eastAsia="Calibri"/>
          <w:szCs w:val="24"/>
        </w:rPr>
        <w:t xml:space="preserve">jeb </w:t>
      </w:r>
      <w:r w:rsidR="00A53F2A">
        <w:rPr>
          <w:rFonts w:eastAsia="Calibri"/>
          <w:szCs w:val="24"/>
        </w:rPr>
        <w:t xml:space="preserve">procentuāli samazinot rādītaju </w:t>
      </w:r>
      <w:r w:rsidRPr="0089716E">
        <w:rPr>
          <w:rFonts w:eastAsia="Calibri"/>
          <w:szCs w:val="24"/>
        </w:rPr>
        <w:t xml:space="preserve">par </w:t>
      </w:r>
      <w:r>
        <w:rPr>
          <w:rFonts w:eastAsia="Calibri"/>
          <w:szCs w:val="24"/>
        </w:rPr>
        <w:t>15,7</w:t>
      </w:r>
      <w:r w:rsidRPr="0089716E">
        <w:rPr>
          <w:rFonts w:eastAsia="Calibri"/>
          <w:szCs w:val="24"/>
        </w:rPr>
        <w:t>%</w:t>
      </w:r>
      <w:r>
        <w:rPr>
          <w:rFonts w:eastAsia="Calibri"/>
          <w:szCs w:val="24"/>
        </w:rPr>
        <w:t>.</w:t>
      </w:r>
      <w:r w:rsidR="00D16E3F">
        <w:rPr>
          <w:rFonts w:eastAsia="Calibri"/>
          <w:szCs w:val="24"/>
        </w:rPr>
        <w:t xml:space="preserve"> </w:t>
      </w:r>
    </w:p>
    <w:p w14:paraId="6444BD8E" w14:textId="32F8C227" w:rsidR="00126D92" w:rsidRDefault="00A53F2A" w:rsidP="00560D3C">
      <w:pPr>
        <w:rPr>
          <w:rFonts w:eastAsia="Calibri"/>
          <w:szCs w:val="24"/>
        </w:rPr>
      </w:pPr>
      <w:r>
        <w:rPr>
          <w:rFonts w:eastAsia="Calibri"/>
          <w:szCs w:val="24"/>
        </w:rPr>
        <w:t>K</w:t>
      </w:r>
      <w:r w:rsidRPr="00A53F2A">
        <w:rPr>
          <w:rFonts w:eastAsia="Calibri"/>
          <w:szCs w:val="24"/>
        </w:rPr>
        <w:t xml:space="preserve">opš </w:t>
      </w:r>
      <w:r w:rsidRPr="0089716E">
        <w:rPr>
          <w:szCs w:val="24"/>
        </w:rPr>
        <w:t>Latvijas Nacionāl</w:t>
      </w:r>
      <w:r>
        <w:rPr>
          <w:szCs w:val="24"/>
        </w:rPr>
        <w:t>ā</w:t>
      </w:r>
      <w:r w:rsidRPr="0089716E">
        <w:rPr>
          <w:szCs w:val="24"/>
        </w:rPr>
        <w:t xml:space="preserve"> attīstības plāna 2014.–2020. gadam</w:t>
      </w:r>
      <w:r w:rsidRPr="00A53F2A">
        <w:rPr>
          <w:rFonts w:eastAsia="Calibri"/>
          <w:szCs w:val="24"/>
        </w:rPr>
        <w:t xml:space="preserve"> atskaites gada (2010) reālais PZDG samazinājums sekojošos divos gados ļauj izdarīt sākotnēju pieņēmumu, ka šis rādītājs ir ticis izvirzīts visai konservatīvi un pastāv reāla iespēja, ka, saglabājoties līdzšinējai sociālekonomiskajai attīstībai un realizējot pareizu sabiedrības veselības un veselības aprūpes politiku, PZGD samazinājums 202</w:t>
      </w:r>
      <w:r w:rsidR="00604D4A">
        <w:rPr>
          <w:rFonts w:eastAsia="Calibri"/>
          <w:szCs w:val="24"/>
        </w:rPr>
        <w:t>7</w:t>
      </w:r>
      <w:r w:rsidRPr="00A53F2A">
        <w:rPr>
          <w:rFonts w:eastAsia="Calibri"/>
          <w:szCs w:val="24"/>
        </w:rPr>
        <w:t>. g</w:t>
      </w:r>
      <w:r w:rsidR="00604D4A">
        <w:rPr>
          <w:rFonts w:eastAsia="Calibri"/>
          <w:szCs w:val="24"/>
        </w:rPr>
        <w:t>adā</w:t>
      </w:r>
      <w:r w:rsidRPr="00A53F2A">
        <w:rPr>
          <w:rFonts w:eastAsia="Calibri"/>
          <w:szCs w:val="24"/>
        </w:rPr>
        <w:t xml:space="preserve"> varētu būt </w:t>
      </w:r>
      <w:r w:rsidR="00604D4A">
        <w:rPr>
          <w:rFonts w:eastAsia="Calibri"/>
          <w:szCs w:val="24"/>
        </w:rPr>
        <w:t>sasniegts.</w:t>
      </w:r>
    </w:p>
    <w:p w14:paraId="22A89092" w14:textId="2E07A10D" w:rsidR="00604D4A" w:rsidRDefault="00604D4A" w:rsidP="0078414E">
      <w:pPr>
        <w:rPr>
          <w:rFonts w:eastAsia="Calibri"/>
        </w:rPr>
      </w:pPr>
      <w:r>
        <w:rPr>
          <w:rFonts w:eastAsia="Calibri"/>
          <w:szCs w:val="24"/>
        </w:rPr>
        <w:t>Izdarot šādu pieņēmumu un p</w:t>
      </w:r>
      <w:r>
        <w:rPr>
          <w:bCs/>
          <w:kern w:val="36"/>
          <w:szCs w:val="24"/>
        </w:rPr>
        <w:t xml:space="preserve">ieņemot, ka </w:t>
      </w:r>
      <w:r w:rsidRPr="00A5590B">
        <w:rPr>
          <w:bCs/>
          <w:kern w:val="36"/>
          <w:szCs w:val="24"/>
        </w:rPr>
        <w:t>no 201</w:t>
      </w:r>
      <w:r>
        <w:rPr>
          <w:bCs/>
          <w:kern w:val="36"/>
          <w:szCs w:val="24"/>
        </w:rPr>
        <w:t>9</w:t>
      </w:r>
      <w:r w:rsidRPr="00A5590B">
        <w:rPr>
          <w:bCs/>
          <w:kern w:val="36"/>
          <w:szCs w:val="24"/>
        </w:rPr>
        <w:t>.</w:t>
      </w:r>
      <w:r>
        <w:rPr>
          <w:bCs/>
          <w:kern w:val="36"/>
          <w:szCs w:val="24"/>
        </w:rPr>
        <w:t xml:space="preserve"> </w:t>
      </w:r>
      <w:r w:rsidRPr="00A5590B">
        <w:rPr>
          <w:bCs/>
          <w:kern w:val="36"/>
          <w:szCs w:val="24"/>
        </w:rPr>
        <w:t>gada līdz 202</w:t>
      </w:r>
      <w:r>
        <w:rPr>
          <w:bCs/>
          <w:kern w:val="36"/>
          <w:szCs w:val="24"/>
        </w:rPr>
        <w:t>7</w:t>
      </w:r>
      <w:r w:rsidRPr="00A5590B">
        <w:rPr>
          <w:bCs/>
          <w:kern w:val="36"/>
          <w:szCs w:val="24"/>
        </w:rPr>
        <w:t>.</w:t>
      </w:r>
      <w:r>
        <w:rPr>
          <w:bCs/>
          <w:kern w:val="36"/>
          <w:szCs w:val="24"/>
        </w:rPr>
        <w:t xml:space="preserve"> </w:t>
      </w:r>
      <w:r w:rsidRPr="00A5590B">
        <w:rPr>
          <w:bCs/>
          <w:kern w:val="36"/>
          <w:szCs w:val="24"/>
        </w:rPr>
        <w:t>gadam</w:t>
      </w:r>
      <w:r>
        <w:rPr>
          <w:bCs/>
          <w:kern w:val="36"/>
          <w:szCs w:val="24"/>
        </w:rPr>
        <w:t xml:space="preserve"> PZMG rādītāja samazinājums notiks lineāri, t.i. ar </w:t>
      </w:r>
      <w:r w:rsidRPr="00A5590B">
        <w:rPr>
          <w:bCs/>
          <w:kern w:val="36"/>
          <w:szCs w:val="24"/>
        </w:rPr>
        <w:t>nemainīgu negatīvo absolūto pieaugumu</w:t>
      </w:r>
      <w:r>
        <w:rPr>
          <w:bCs/>
          <w:kern w:val="36"/>
          <w:szCs w:val="24"/>
        </w:rPr>
        <w:t xml:space="preserve"> vidēji 133 PZMG kalendārajā gadā ((- 6 762 PZMG + 5 700 PZMG) / 8 gadi = - 133 PZMG), un vērtējot </w:t>
      </w:r>
      <w:r w:rsidRPr="0089716E">
        <w:rPr>
          <w:rFonts w:eastAsia="Calibri"/>
        </w:rPr>
        <w:t>mirušo vecumstruktūru 20</w:t>
      </w:r>
      <w:r w:rsidR="0078414E">
        <w:rPr>
          <w:rFonts w:eastAsia="Calibri"/>
        </w:rPr>
        <w:t>19.-20</w:t>
      </w:r>
      <w:r>
        <w:rPr>
          <w:rFonts w:eastAsia="Calibri"/>
        </w:rPr>
        <w:t>22</w:t>
      </w:r>
      <w:r w:rsidRPr="0089716E">
        <w:rPr>
          <w:rFonts w:eastAsia="Calibri"/>
        </w:rPr>
        <w:t>.</w:t>
      </w:r>
      <w:r>
        <w:rPr>
          <w:rFonts w:eastAsia="Calibri"/>
        </w:rPr>
        <w:t xml:space="preserve"> </w:t>
      </w:r>
      <w:r w:rsidRPr="0089716E">
        <w:rPr>
          <w:rFonts w:eastAsia="Calibri"/>
        </w:rPr>
        <w:t>gadā</w:t>
      </w:r>
      <w:r w:rsidR="0078414E">
        <w:rPr>
          <w:rFonts w:eastAsia="Calibri"/>
        </w:rPr>
        <w:t xml:space="preserve"> (1.tabula)</w:t>
      </w:r>
      <w:r w:rsidRPr="0089716E">
        <w:rPr>
          <w:rFonts w:eastAsia="Calibri"/>
        </w:rPr>
        <w:t xml:space="preserve"> </w:t>
      </w:r>
      <w:r w:rsidR="001901F0">
        <w:rPr>
          <w:rFonts w:eastAsia="Calibri"/>
        </w:rPr>
        <w:t>(</w:t>
      </w:r>
      <w:r w:rsidRPr="0089716E">
        <w:rPr>
          <w:rFonts w:eastAsia="Calibri"/>
        </w:rPr>
        <w:t>un pieņemot to par nemainīgu</w:t>
      </w:r>
      <w:r w:rsidR="001901F0">
        <w:rPr>
          <w:rFonts w:eastAsia="Calibri"/>
        </w:rPr>
        <w:t>)</w:t>
      </w:r>
      <w:r>
        <w:rPr>
          <w:rFonts w:eastAsia="Calibri"/>
        </w:rPr>
        <w:t xml:space="preserve">, aprēķināts, ka, samazinoties PZDG skaitam, </w:t>
      </w:r>
      <w:r w:rsidR="001901F0">
        <w:rPr>
          <w:rFonts w:eastAsia="Calibri"/>
        </w:rPr>
        <w:t xml:space="preserve">kopumā no 2024. gada līdz 2027. gadam ir </w:t>
      </w:r>
      <w:r w:rsidR="001901F0" w:rsidRPr="001901F0">
        <w:rPr>
          <w:rFonts w:eastAsia="Calibri"/>
        </w:rPr>
        <w:t>iespējam</w:t>
      </w:r>
      <w:r w:rsidR="001901F0">
        <w:rPr>
          <w:rFonts w:eastAsia="Calibri"/>
        </w:rPr>
        <w:t xml:space="preserve">s </w:t>
      </w:r>
      <w:r w:rsidR="001901F0" w:rsidRPr="001901F0">
        <w:rPr>
          <w:rFonts w:eastAsia="Calibri"/>
        </w:rPr>
        <w:t>potenciāl</w:t>
      </w:r>
      <w:r w:rsidR="001901F0">
        <w:rPr>
          <w:rFonts w:eastAsia="Calibri"/>
        </w:rPr>
        <w:t>i</w:t>
      </w:r>
      <w:r w:rsidR="001901F0" w:rsidRPr="001901F0">
        <w:rPr>
          <w:rFonts w:eastAsia="Calibri"/>
        </w:rPr>
        <w:t xml:space="preserve"> </w:t>
      </w:r>
      <w:r w:rsidR="001901F0">
        <w:rPr>
          <w:rFonts w:eastAsia="Calibri"/>
        </w:rPr>
        <w:t xml:space="preserve">samazināt </w:t>
      </w:r>
      <w:r w:rsidR="001901F0" w:rsidRPr="0096490E">
        <w:rPr>
          <w:rFonts w:eastAsia="Calibri"/>
        </w:rPr>
        <w:t>priekšlaicīgas nāves gadījum</w:t>
      </w:r>
      <w:r w:rsidR="001901F0">
        <w:rPr>
          <w:rFonts w:eastAsia="Calibri"/>
        </w:rPr>
        <w:t>us par 525 gadījumiem</w:t>
      </w:r>
      <w:r w:rsidR="001901F0" w:rsidRPr="0096490E">
        <w:rPr>
          <w:rFonts w:eastAsia="Calibri"/>
        </w:rPr>
        <w:t xml:space="preserve"> </w:t>
      </w:r>
      <w:r w:rsidR="001901F0">
        <w:rPr>
          <w:rFonts w:eastAsia="Calibri"/>
        </w:rPr>
        <w:t>(</w:t>
      </w:r>
      <w:r w:rsidR="00FB2E10">
        <w:rPr>
          <w:rFonts w:eastAsia="Calibri"/>
        </w:rPr>
        <w:t xml:space="preserve"> 99% no ik gadu novērstajiem 133 gadījumiem katrā kalendārajā gadā no 2024. gada līdz 2027.gadam) </w:t>
      </w:r>
      <w:r w:rsidR="001901F0">
        <w:rPr>
          <w:rFonts w:eastAsia="Calibri"/>
        </w:rPr>
        <w:t xml:space="preserve">. </w:t>
      </w:r>
    </w:p>
    <w:p w14:paraId="45587A01" w14:textId="77777777" w:rsidR="0078414E" w:rsidRDefault="0078414E" w:rsidP="0078414E">
      <w:pPr>
        <w:rPr>
          <w:rFonts w:eastAsia="Calibri"/>
          <w:szCs w:val="24"/>
        </w:rPr>
      </w:pPr>
    </w:p>
    <w:p w14:paraId="5CBD856A" w14:textId="71DAA238" w:rsidR="0078414E" w:rsidRPr="000F7B05" w:rsidRDefault="0078414E" w:rsidP="0078414E">
      <w:pPr>
        <w:jc w:val="left"/>
        <w:rPr>
          <w:rFonts w:eastAsia="Calibri"/>
          <w:i/>
          <w:iCs/>
          <w:szCs w:val="24"/>
        </w:rPr>
      </w:pPr>
      <w:r w:rsidRPr="000F7B05">
        <w:rPr>
          <w:rFonts w:eastAsia="Calibri"/>
          <w:i/>
          <w:iCs/>
          <w:szCs w:val="24"/>
        </w:rPr>
        <w:t>1.tabula Mirušo vecumstruktūra 2019.-2022.gadā</w:t>
      </w:r>
    </w:p>
    <w:p w14:paraId="3C2C37B5" w14:textId="5CBEDD86" w:rsidR="0078414E" w:rsidRDefault="0078414E" w:rsidP="00560D3C">
      <w:pPr>
        <w:rPr>
          <w:rFonts w:eastAsia="Calibri"/>
          <w:szCs w:val="24"/>
        </w:rPr>
      </w:pPr>
      <w:r>
        <w:rPr>
          <w:noProof/>
        </w:rPr>
        <w:drawing>
          <wp:inline distT="0" distB="0" distL="0" distR="0" wp14:anchorId="21454CA7" wp14:editId="7A9A5684">
            <wp:extent cx="5172075" cy="771525"/>
            <wp:effectExtent l="0" t="0" r="9525" b="9525"/>
            <wp:docPr id="60980378" name="Picture 1" descr="A white sheet with numbers and a numb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0378" name="Picture 1" descr="A white sheet with numbers and a number on it&#10;&#10;Description automatically generated"/>
                    <pic:cNvPicPr/>
                  </pic:nvPicPr>
                  <pic:blipFill>
                    <a:blip r:embed="rId9"/>
                    <a:stretch>
                      <a:fillRect/>
                    </a:stretch>
                  </pic:blipFill>
                  <pic:spPr>
                    <a:xfrm>
                      <a:off x="0" y="0"/>
                      <a:ext cx="5172075" cy="771525"/>
                    </a:xfrm>
                    <a:prstGeom prst="rect">
                      <a:avLst/>
                    </a:prstGeom>
                  </pic:spPr>
                </pic:pic>
              </a:graphicData>
            </a:graphic>
          </wp:inline>
        </w:drawing>
      </w:r>
    </w:p>
    <w:p w14:paraId="6BC0A201" w14:textId="77777777" w:rsidR="00126D92" w:rsidRDefault="00126D92" w:rsidP="00560D3C"/>
    <w:p w14:paraId="28E53345" w14:textId="6FCF6336" w:rsidR="0078414E" w:rsidRDefault="0078414E" w:rsidP="0078414E">
      <w:pPr>
        <w:rPr>
          <w:rFonts w:eastAsia="Calibri"/>
        </w:rPr>
      </w:pPr>
      <w:r>
        <w:rPr>
          <w:rFonts w:eastAsia="Calibri"/>
        </w:rPr>
        <w:t>Ņemot vērā šo prognozi un p</w:t>
      </w:r>
      <w:r w:rsidR="00FB2E10">
        <w:rPr>
          <w:rFonts w:eastAsia="Calibri"/>
        </w:rPr>
        <w:t>i</w:t>
      </w:r>
      <w:r w:rsidRPr="0089716E">
        <w:rPr>
          <w:rFonts w:eastAsia="Calibri"/>
        </w:rPr>
        <w:t>eņemot, ka cilvēki, kuriem tiks novērsta priekšlaicīga nāve, vidēji būs tik pa</w:t>
      </w:r>
      <w:r>
        <w:rPr>
          <w:rFonts w:eastAsia="Calibri"/>
        </w:rPr>
        <w:t>t</w:t>
      </w:r>
      <w:r w:rsidRPr="0089716E">
        <w:rPr>
          <w:rFonts w:eastAsia="Calibri"/>
        </w:rPr>
        <w:t xml:space="preserve"> produktīvi kā vidēji attiecīga vecuma Latvijas iedzīvotāji, var prognozēt, ka no visiem </w:t>
      </w:r>
      <w:r w:rsidR="00FB2E10">
        <w:rPr>
          <w:rFonts w:eastAsia="Calibri"/>
        </w:rPr>
        <w:t xml:space="preserve">no 2024. gada </w:t>
      </w:r>
      <w:r w:rsidRPr="0089716E">
        <w:rPr>
          <w:rFonts w:eastAsia="Calibri"/>
        </w:rPr>
        <w:t>līdz 202</w:t>
      </w:r>
      <w:r>
        <w:rPr>
          <w:rFonts w:eastAsia="Calibri"/>
        </w:rPr>
        <w:t>7</w:t>
      </w:r>
      <w:r w:rsidRPr="0089716E">
        <w:rPr>
          <w:rFonts w:eastAsia="Calibri"/>
        </w:rPr>
        <w:t>.</w:t>
      </w:r>
      <w:r>
        <w:rPr>
          <w:rFonts w:eastAsia="Calibri"/>
        </w:rPr>
        <w:t xml:space="preserve"> </w:t>
      </w:r>
      <w:r w:rsidRPr="0089716E">
        <w:rPr>
          <w:rFonts w:eastAsia="Calibri"/>
        </w:rPr>
        <w:t xml:space="preserve">gadam </w:t>
      </w:r>
      <w:r w:rsidR="00FB2E10">
        <w:rPr>
          <w:rFonts w:eastAsia="Calibri"/>
        </w:rPr>
        <w:t>“</w:t>
      </w:r>
      <w:r w:rsidRPr="0089716E">
        <w:rPr>
          <w:rFonts w:eastAsia="Calibri"/>
        </w:rPr>
        <w:t>izglābtajiem</w:t>
      </w:r>
      <w:r w:rsidR="00FB2E10">
        <w:rPr>
          <w:rFonts w:eastAsia="Calibri"/>
        </w:rPr>
        <w:t>”</w:t>
      </w:r>
      <w:r w:rsidRPr="0089716E">
        <w:rPr>
          <w:rFonts w:eastAsia="Calibri"/>
        </w:rPr>
        <w:t xml:space="preserve"> </w:t>
      </w:r>
      <w:r>
        <w:rPr>
          <w:rFonts w:eastAsia="Calibri"/>
        </w:rPr>
        <w:t>525</w:t>
      </w:r>
      <w:r w:rsidRPr="0089716E">
        <w:rPr>
          <w:rFonts w:eastAsia="Calibri"/>
        </w:rPr>
        <w:t xml:space="preserve"> iedzīvotājiem vecumā no 15 līdz 64 gadiem nodarbināts būs aptuveni </w:t>
      </w:r>
      <w:r>
        <w:rPr>
          <w:rFonts w:eastAsia="Calibri"/>
        </w:rPr>
        <w:t>371</w:t>
      </w:r>
      <w:r w:rsidRPr="0089716E">
        <w:rPr>
          <w:rFonts w:eastAsia="Calibri"/>
        </w:rPr>
        <w:t xml:space="preserve"> cilvēks</w:t>
      </w:r>
      <w:r>
        <w:rPr>
          <w:rFonts w:eastAsia="Calibri"/>
        </w:rPr>
        <w:t xml:space="preserve"> (70,78%</w:t>
      </w:r>
      <w:r w:rsidR="00FB2E10">
        <w:rPr>
          <w:rFonts w:eastAsia="Calibri"/>
        </w:rPr>
        <w:t xml:space="preserve"> (2.tabula)</w:t>
      </w:r>
      <w:r>
        <w:rPr>
          <w:rFonts w:eastAsia="Calibri"/>
        </w:rPr>
        <w:t xml:space="preserve"> no visiem </w:t>
      </w:r>
      <w:r w:rsidR="00FB2E10">
        <w:rPr>
          <w:rFonts w:eastAsia="Calibri"/>
        </w:rPr>
        <w:t>“</w:t>
      </w:r>
      <w:r w:rsidRPr="0089716E">
        <w:rPr>
          <w:rFonts w:eastAsia="Calibri"/>
        </w:rPr>
        <w:t>izglābtajiem</w:t>
      </w:r>
      <w:r w:rsidR="00FB2E10">
        <w:rPr>
          <w:rFonts w:eastAsia="Calibri"/>
        </w:rPr>
        <w:t>”</w:t>
      </w:r>
      <w:r w:rsidRPr="0089716E">
        <w:rPr>
          <w:rFonts w:eastAsia="Calibri"/>
        </w:rPr>
        <w:t xml:space="preserve"> </w:t>
      </w:r>
      <w:r>
        <w:rPr>
          <w:rFonts w:eastAsia="Calibri"/>
        </w:rPr>
        <w:t>525</w:t>
      </w:r>
      <w:r w:rsidRPr="0089716E">
        <w:rPr>
          <w:rFonts w:eastAsia="Calibri"/>
        </w:rPr>
        <w:t xml:space="preserve"> iedzīvotājiem vecumā no 15 līdz 64 gadiem</w:t>
      </w:r>
      <w:r>
        <w:rPr>
          <w:rFonts w:eastAsia="Calibri"/>
        </w:rPr>
        <w:t>)</w:t>
      </w:r>
      <w:r w:rsidRPr="0089716E">
        <w:rPr>
          <w:rFonts w:eastAsia="Calibri"/>
        </w:rPr>
        <w:t>.</w:t>
      </w:r>
      <w:r>
        <w:rPr>
          <w:rFonts w:eastAsia="Calibri"/>
        </w:rPr>
        <w:t xml:space="preserve"> </w:t>
      </w:r>
    </w:p>
    <w:p w14:paraId="3D3C1F55" w14:textId="77777777" w:rsidR="00FB2E10" w:rsidRDefault="00FB2E10" w:rsidP="0078414E">
      <w:pPr>
        <w:rPr>
          <w:rFonts w:eastAsia="Calibri"/>
        </w:rPr>
      </w:pPr>
    </w:p>
    <w:p w14:paraId="599FF0F6" w14:textId="39A15949" w:rsidR="00126D92" w:rsidRPr="000F7B05" w:rsidRDefault="00FB2E10" w:rsidP="00560D3C">
      <w:pPr>
        <w:rPr>
          <w:i/>
          <w:iCs/>
          <w:szCs w:val="24"/>
        </w:rPr>
      </w:pPr>
      <w:r>
        <w:rPr>
          <w:szCs w:val="24"/>
        </w:rPr>
        <w:t xml:space="preserve"> </w:t>
      </w:r>
      <w:r w:rsidRPr="000F7B05">
        <w:rPr>
          <w:i/>
          <w:iCs/>
          <w:szCs w:val="24"/>
        </w:rPr>
        <w:t>2.tabula Nodarbināto īpatsvars 2022.gadā</w:t>
      </w:r>
    </w:p>
    <w:p w14:paraId="557F1428" w14:textId="2849C7E3" w:rsidR="00FB2E10" w:rsidRDefault="00FB2E10" w:rsidP="00560D3C">
      <w:pPr>
        <w:rPr>
          <w:szCs w:val="24"/>
        </w:rPr>
      </w:pPr>
      <w:r>
        <w:rPr>
          <w:noProof/>
        </w:rPr>
        <w:drawing>
          <wp:inline distT="0" distB="0" distL="0" distR="0" wp14:anchorId="31861E11" wp14:editId="013C3A69">
            <wp:extent cx="4610100" cy="619125"/>
            <wp:effectExtent l="0" t="0" r="0" b="9525"/>
            <wp:docPr id="1163443968"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443968" name="Picture 1" descr="A screenshot of a phone&#10;&#10;Description automatically generated"/>
                    <pic:cNvPicPr/>
                  </pic:nvPicPr>
                  <pic:blipFill>
                    <a:blip r:embed="rId10"/>
                    <a:stretch>
                      <a:fillRect/>
                    </a:stretch>
                  </pic:blipFill>
                  <pic:spPr>
                    <a:xfrm>
                      <a:off x="0" y="0"/>
                      <a:ext cx="4610100" cy="619125"/>
                    </a:xfrm>
                    <a:prstGeom prst="rect">
                      <a:avLst/>
                    </a:prstGeom>
                  </pic:spPr>
                </pic:pic>
              </a:graphicData>
            </a:graphic>
          </wp:inline>
        </w:drawing>
      </w:r>
    </w:p>
    <w:p w14:paraId="55267EE1" w14:textId="77777777" w:rsidR="00FB2E10" w:rsidRDefault="00FB2E10" w:rsidP="00560D3C">
      <w:pPr>
        <w:rPr>
          <w:rFonts w:eastAsia="Calibri"/>
        </w:rPr>
      </w:pPr>
    </w:p>
    <w:p w14:paraId="51B63374" w14:textId="1745C903" w:rsidR="00FB2E10" w:rsidRDefault="00FB2E10" w:rsidP="00560D3C">
      <w:pPr>
        <w:rPr>
          <w:rFonts w:eastAsia="Calibri"/>
        </w:rPr>
      </w:pPr>
      <w:r w:rsidRPr="0089716E">
        <w:rPr>
          <w:rFonts w:eastAsia="Calibri"/>
        </w:rPr>
        <w:t>Pie prognozētā IKP uz 1 nodarbināto līmeņa</w:t>
      </w:r>
      <w:r>
        <w:rPr>
          <w:rFonts w:eastAsia="Calibri"/>
        </w:rPr>
        <w:t xml:space="preserve">, kas uz 2022. gada sākumu pēc Centrālās statistikas pārvaldes datiem sastāda </w:t>
      </w:r>
      <w:r w:rsidRPr="003A6E96">
        <w:rPr>
          <w:rFonts w:eastAsia="Calibri"/>
        </w:rPr>
        <w:t>44</w:t>
      </w:r>
      <w:r>
        <w:rPr>
          <w:rFonts w:eastAsia="Calibri"/>
        </w:rPr>
        <w:t xml:space="preserve"> </w:t>
      </w:r>
      <w:r w:rsidRPr="003A6E96">
        <w:rPr>
          <w:rFonts w:eastAsia="Calibri"/>
        </w:rPr>
        <w:t>492</w:t>
      </w:r>
      <w:r>
        <w:rPr>
          <w:rFonts w:eastAsia="Calibri"/>
        </w:rPr>
        <w:t xml:space="preserve"> </w:t>
      </w:r>
      <w:r w:rsidRPr="001D4FF3">
        <w:rPr>
          <w:rFonts w:eastAsia="Calibri"/>
          <w:i/>
          <w:iCs/>
        </w:rPr>
        <w:t>euro</w:t>
      </w:r>
      <w:r>
        <w:rPr>
          <w:rFonts w:eastAsia="Calibri"/>
        </w:rPr>
        <w:t xml:space="preserve"> uz vienu nodarbināto</w:t>
      </w:r>
      <w:r w:rsidRPr="0089716E">
        <w:rPr>
          <w:rFonts w:eastAsia="Calibri"/>
        </w:rPr>
        <w:t>, papildus vai saglabātais darbaspēks (</w:t>
      </w:r>
      <w:r>
        <w:rPr>
          <w:rFonts w:eastAsia="Calibri"/>
        </w:rPr>
        <w:t>371</w:t>
      </w:r>
      <w:r w:rsidRPr="0089716E">
        <w:rPr>
          <w:rFonts w:eastAsia="Calibri"/>
        </w:rPr>
        <w:t xml:space="preserve"> cilvēks) tikai 202</w:t>
      </w:r>
      <w:r>
        <w:rPr>
          <w:rFonts w:eastAsia="Calibri"/>
        </w:rPr>
        <w:t>4</w:t>
      </w:r>
      <w:r w:rsidRPr="0089716E">
        <w:rPr>
          <w:rFonts w:eastAsia="Calibri"/>
        </w:rPr>
        <w:t>.</w:t>
      </w:r>
      <w:r>
        <w:rPr>
          <w:rFonts w:eastAsia="Calibri"/>
        </w:rPr>
        <w:t xml:space="preserve"> </w:t>
      </w:r>
      <w:r w:rsidRPr="0089716E">
        <w:rPr>
          <w:rFonts w:eastAsia="Calibri"/>
        </w:rPr>
        <w:t>gadā varēs nodrošināt papildus IKP 4,</w:t>
      </w:r>
      <w:r>
        <w:rPr>
          <w:rFonts w:eastAsia="Calibri"/>
        </w:rPr>
        <w:t>1</w:t>
      </w:r>
      <w:r w:rsidRPr="0089716E">
        <w:rPr>
          <w:rFonts w:eastAsia="Calibri"/>
        </w:rPr>
        <w:t xml:space="preserve"> milj. </w:t>
      </w:r>
      <w:r w:rsidRPr="001D4FF3">
        <w:rPr>
          <w:rFonts w:eastAsia="Calibri"/>
          <w:i/>
          <w:iCs/>
        </w:rPr>
        <w:t>euro</w:t>
      </w:r>
      <w:r w:rsidRPr="0089716E">
        <w:rPr>
          <w:rFonts w:eastAsia="Calibri"/>
        </w:rPr>
        <w:t xml:space="preserve"> vērtībā.</w:t>
      </w:r>
      <w:r w:rsidR="00D97BF1">
        <w:rPr>
          <w:rFonts w:eastAsia="Calibri"/>
        </w:rPr>
        <w:t xml:space="preserve"> </w:t>
      </w:r>
    </w:p>
    <w:p w14:paraId="1CDD027B" w14:textId="5F604B82" w:rsidR="00D97BF1" w:rsidRDefault="00D97BF1" w:rsidP="00D97BF1">
      <w:pPr>
        <w:rPr>
          <w:rFonts w:eastAsia="Calibri"/>
        </w:rPr>
      </w:pPr>
      <w:r>
        <w:rPr>
          <w:rFonts w:eastAsia="Calibri"/>
        </w:rPr>
        <w:t>Savukārt, u</w:t>
      </w:r>
      <w:r w:rsidRPr="0089716E">
        <w:rPr>
          <w:rFonts w:eastAsia="Calibri"/>
        </w:rPr>
        <w:t xml:space="preserve">zstādītā </w:t>
      </w:r>
      <w:r>
        <w:rPr>
          <w:rFonts w:eastAsia="Calibri"/>
        </w:rPr>
        <w:t>PZMG</w:t>
      </w:r>
      <w:r w:rsidRPr="0089716E">
        <w:rPr>
          <w:rFonts w:eastAsia="Calibri"/>
        </w:rPr>
        <w:t xml:space="preserve"> rādītāja samazināšanas mērķa sasniegšanas rezultātā var prognozēt kopējo IKP pieaugumu no 20</w:t>
      </w:r>
      <w:r>
        <w:rPr>
          <w:rFonts w:eastAsia="Calibri"/>
        </w:rPr>
        <w:t>24</w:t>
      </w:r>
      <w:r w:rsidRPr="0089716E">
        <w:rPr>
          <w:rFonts w:eastAsia="Calibri"/>
        </w:rPr>
        <w:t>.</w:t>
      </w:r>
      <w:r>
        <w:rPr>
          <w:rFonts w:eastAsia="Calibri"/>
        </w:rPr>
        <w:t xml:space="preserve"> </w:t>
      </w:r>
      <w:r w:rsidRPr="0089716E">
        <w:rPr>
          <w:rFonts w:eastAsia="Calibri"/>
        </w:rPr>
        <w:t>gada līdz 202</w:t>
      </w:r>
      <w:r>
        <w:rPr>
          <w:rFonts w:eastAsia="Calibri"/>
        </w:rPr>
        <w:t>7</w:t>
      </w:r>
      <w:r w:rsidRPr="0089716E">
        <w:rPr>
          <w:rFonts w:eastAsia="Calibri"/>
        </w:rPr>
        <w:t>.</w:t>
      </w:r>
      <w:r>
        <w:rPr>
          <w:rFonts w:eastAsia="Calibri"/>
        </w:rPr>
        <w:t xml:space="preserve"> </w:t>
      </w:r>
      <w:r w:rsidRPr="0089716E">
        <w:rPr>
          <w:rFonts w:eastAsia="Calibri"/>
        </w:rPr>
        <w:t xml:space="preserve">gadam </w:t>
      </w:r>
      <w:r>
        <w:rPr>
          <w:rFonts w:eastAsia="Calibri"/>
        </w:rPr>
        <w:t>16</w:t>
      </w:r>
      <w:r w:rsidRPr="0089716E">
        <w:rPr>
          <w:rFonts w:eastAsia="Calibri"/>
        </w:rPr>
        <w:t>,</w:t>
      </w:r>
      <w:r>
        <w:rPr>
          <w:rFonts w:eastAsia="Calibri"/>
        </w:rPr>
        <w:t>5</w:t>
      </w:r>
      <w:r w:rsidRPr="0089716E">
        <w:rPr>
          <w:rFonts w:eastAsia="Calibri"/>
        </w:rPr>
        <w:t xml:space="preserve"> milj. </w:t>
      </w:r>
      <w:r w:rsidRPr="001D4FF3">
        <w:rPr>
          <w:rFonts w:eastAsia="Calibri"/>
          <w:i/>
          <w:iCs/>
        </w:rPr>
        <w:t>euro</w:t>
      </w:r>
      <w:r w:rsidRPr="0089716E">
        <w:rPr>
          <w:rFonts w:eastAsia="Calibri"/>
        </w:rPr>
        <w:t xml:space="preserve"> apmērā</w:t>
      </w:r>
      <w:r>
        <w:rPr>
          <w:rFonts w:eastAsia="Calibri"/>
        </w:rPr>
        <w:t xml:space="preserve"> un,</w:t>
      </w:r>
      <w:r w:rsidRPr="0089716E">
        <w:rPr>
          <w:rFonts w:eastAsia="Calibri"/>
        </w:rPr>
        <w:t xml:space="preserve"> </w:t>
      </w:r>
      <w:r w:rsidRPr="0089716E">
        <w:rPr>
          <w:rFonts w:eastAsia="Calibri"/>
        </w:rPr>
        <w:lastRenderedPageBreak/>
        <w:t>piemērojot 5% diskonta likmi</w:t>
      </w:r>
      <w:r>
        <w:rPr>
          <w:rFonts w:eastAsia="Calibri"/>
        </w:rPr>
        <w:t>,</w:t>
      </w:r>
      <w:r w:rsidRPr="0089716E">
        <w:rPr>
          <w:rFonts w:eastAsia="Calibri"/>
        </w:rPr>
        <w:t xml:space="preserve"> novērtētā papildus IKP vērtība 20</w:t>
      </w:r>
      <w:r>
        <w:rPr>
          <w:rFonts w:eastAsia="Calibri"/>
        </w:rPr>
        <w:t>27</w:t>
      </w:r>
      <w:r w:rsidRPr="0089716E">
        <w:rPr>
          <w:rFonts w:eastAsia="Calibri"/>
        </w:rPr>
        <w:t>.</w:t>
      </w:r>
      <w:r>
        <w:rPr>
          <w:rFonts w:eastAsia="Calibri"/>
        </w:rPr>
        <w:t xml:space="preserve"> </w:t>
      </w:r>
      <w:r w:rsidRPr="0089716E">
        <w:rPr>
          <w:rFonts w:eastAsia="Calibri"/>
        </w:rPr>
        <w:t xml:space="preserve">gadā būtu </w:t>
      </w:r>
      <w:r>
        <w:rPr>
          <w:rFonts w:eastAsia="Calibri"/>
        </w:rPr>
        <w:t>14</w:t>
      </w:r>
      <w:r w:rsidRPr="0089716E">
        <w:rPr>
          <w:rFonts w:eastAsia="Calibri"/>
        </w:rPr>
        <w:t>,</w:t>
      </w:r>
      <w:r>
        <w:rPr>
          <w:rFonts w:eastAsia="Calibri"/>
        </w:rPr>
        <w:t>6</w:t>
      </w:r>
      <w:r w:rsidRPr="0089716E">
        <w:rPr>
          <w:rFonts w:eastAsia="Calibri"/>
        </w:rPr>
        <w:t xml:space="preserve"> milj. </w:t>
      </w:r>
      <w:r w:rsidRPr="001D4FF3">
        <w:rPr>
          <w:rFonts w:eastAsia="Calibri"/>
          <w:i/>
          <w:iCs/>
        </w:rPr>
        <w:t>euro</w:t>
      </w:r>
      <w:r w:rsidRPr="0089716E">
        <w:rPr>
          <w:rFonts w:eastAsia="Calibri"/>
        </w:rPr>
        <w:t xml:space="preserve"> vērta </w:t>
      </w:r>
      <w:r>
        <w:rPr>
          <w:rFonts w:eastAsia="Calibri"/>
        </w:rPr>
        <w:t>atbilstoši zemāk sniegtajam aprēķinam</w:t>
      </w:r>
      <w:r w:rsidR="000F7B05">
        <w:rPr>
          <w:rFonts w:eastAsia="Calibri"/>
        </w:rPr>
        <w:t xml:space="preserve"> (3.tabula)</w:t>
      </w:r>
      <w:r>
        <w:rPr>
          <w:rFonts w:eastAsia="Calibri"/>
        </w:rPr>
        <w:t xml:space="preserve">: </w:t>
      </w:r>
    </w:p>
    <w:p w14:paraId="74EFF325" w14:textId="77777777" w:rsidR="000F7B05" w:rsidRDefault="000F7B05" w:rsidP="00D97BF1">
      <w:pPr>
        <w:rPr>
          <w:rFonts w:eastAsia="Calibri"/>
        </w:rPr>
      </w:pPr>
    </w:p>
    <w:p w14:paraId="324C1781" w14:textId="38108B2D" w:rsidR="000F7B05" w:rsidRPr="000F7B05" w:rsidRDefault="000F7B05" w:rsidP="00D97BF1">
      <w:pPr>
        <w:rPr>
          <w:rFonts w:eastAsia="Calibri"/>
          <w:i/>
          <w:iCs/>
        </w:rPr>
      </w:pPr>
      <w:r w:rsidRPr="000F7B05">
        <w:rPr>
          <w:rFonts w:eastAsia="Calibri"/>
          <w:i/>
          <w:iCs/>
        </w:rPr>
        <w:t xml:space="preserve">3.tabula </w:t>
      </w:r>
      <w:r w:rsidRPr="000F7B05">
        <w:rPr>
          <w:rFonts w:eastAsia="Calibri"/>
          <w:bCs/>
          <w:i/>
          <w:iCs/>
          <w:szCs w:val="23"/>
        </w:rPr>
        <w:t xml:space="preserve">Sagaidāmais IKP pieaugums no </w:t>
      </w:r>
      <w:r w:rsidRPr="000F7B05">
        <w:rPr>
          <w:rFonts w:eastAsia="Calibri"/>
          <w:i/>
          <w:iCs/>
        </w:rPr>
        <w:t xml:space="preserve">PZMG rādītāja sasniegšanas no 2024. gada līdz 2027.gadam, euro </w:t>
      </w:r>
    </w:p>
    <w:p w14:paraId="2C358932" w14:textId="0E35F79B" w:rsidR="00D97BF1" w:rsidRDefault="00D97BF1" w:rsidP="00D97BF1">
      <w:pPr>
        <w:ind w:firstLine="0"/>
        <w:jc w:val="left"/>
        <w:rPr>
          <w:szCs w:val="24"/>
        </w:rPr>
      </w:pPr>
      <w:r>
        <w:rPr>
          <w:noProof/>
        </w:rPr>
        <w:drawing>
          <wp:inline distT="0" distB="0" distL="0" distR="0" wp14:anchorId="4768AAE2" wp14:editId="00E0D834">
            <wp:extent cx="5937885" cy="1066800"/>
            <wp:effectExtent l="0" t="0" r="5715" b="0"/>
            <wp:docPr id="20128801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80180" name="Picture 1" descr="A screenshot of a computer&#10;&#10;Description automatically generated"/>
                    <pic:cNvPicPr/>
                  </pic:nvPicPr>
                  <pic:blipFill>
                    <a:blip r:embed="rId11"/>
                    <a:stretch>
                      <a:fillRect/>
                    </a:stretch>
                  </pic:blipFill>
                  <pic:spPr>
                    <a:xfrm>
                      <a:off x="0" y="0"/>
                      <a:ext cx="5937885" cy="1066800"/>
                    </a:xfrm>
                    <a:prstGeom prst="rect">
                      <a:avLst/>
                    </a:prstGeom>
                  </pic:spPr>
                </pic:pic>
              </a:graphicData>
            </a:graphic>
          </wp:inline>
        </w:drawing>
      </w:r>
    </w:p>
    <w:p w14:paraId="01B62B75" w14:textId="77777777" w:rsidR="00D97BF1" w:rsidRDefault="00D97BF1" w:rsidP="00D97BF1">
      <w:pPr>
        <w:ind w:firstLine="0"/>
        <w:jc w:val="left"/>
        <w:rPr>
          <w:szCs w:val="24"/>
        </w:rPr>
      </w:pPr>
    </w:p>
    <w:p w14:paraId="1A8CC3A3" w14:textId="6638355C" w:rsidR="005E310B" w:rsidRDefault="00D97BF1" w:rsidP="005E310B">
      <w:pPr>
        <w:rPr>
          <w:rFonts w:eastAsia="Calibri"/>
        </w:rPr>
      </w:pPr>
      <w:r>
        <w:rPr>
          <w:szCs w:val="24"/>
        </w:rPr>
        <w:tab/>
      </w:r>
      <w:r w:rsidR="005E310B">
        <w:rPr>
          <w:rFonts w:eastAsia="Calibri"/>
        </w:rPr>
        <w:t xml:space="preserve">Līdz ar </w:t>
      </w:r>
      <w:r w:rsidR="005E310B" w:rsidRPr="0089716E">
        <w:rPr>
          <w:rFonts w:eastAsia="Calibri"/>
        </w:rPr>
        <w:t>darbaspēka piedāvājuma pieaugum</w:t>
      </w:r>
      <w:r w:rsidR="005E310B">
        <w:rPr>
          <w:rFonts w:eastAsia="Calibri"/>
        </w:rPr>
        <w:t>u, pie prognozētā s</w:t>
      </w:r>
      <w:r w:rsidR="005E310B" w:rsidRPr="000074C6">
        <w:rPr>
          <w:rFonts w:eastAsia="Calibri"/>
        </w:rPr>
        <w:t>trādājošo mēneša vidējā darba samaksa</w:t>
      </w:r>
      <w:r w:rsidR="005E310B">
        <w:rPr>
          <w:rFonts w:eastAsia="Calibri"/>
        </w:rPr>
        <w:t xml:space="preserve">s līmeņa saglabāšanas uz 2022. gadu – </w:t>
      </w:r>
      <w:r w:rsidR="005E310B" w:rsidRPr="000074C6">
        <w:rPr>
          <w:rFonts w:eastAsia="Calibri"/>
        </w:rPr>
        <w:t>1</w:t>
      </w:r>
      <w:r w:rsidR="005E310B">
        <w:rPr>
          <w:rFonts w:eastAsia="Calibri"/>
        </w:rPr>
        <w:t xml:space="preserve"> </w:t>
      </w:r>
      <w:r w:rsidR="005E310B" w:rsidRPr="000074C6">
        <w:rPr>
          <w:rFonts w:eastAsia="Calibri"/>
        </w:rPr>
        <w:t>545</w:t>
      </w:r>
      <w:r w:rsidR="005E310B">
        <w:rPr>
          <w:rFonts w:eastAsia="Calibri"/>
        </w:rPr>
        <w:t xml:space="preserve"> </w:t>
      </w:r>
      <w:r w:rsidR="005E310B" w:rsidRPr="005E310B">
        <w:rPr>
          <w:rFonts w:eastAsia="Calibri"/>
          <w:i/>
          <w:iCs/>
        </w:rPr>
        <w:t>euro</w:t>
      </w:r>
      <w:r w:rsidR="005E310B">
        <w:rPr>
          <w:rFonts w:eastAsia="Calibri"/>
        </w:rPr>
        <w:t xml:space="preserve"> mēnesī pirms nodokļu nomaksas, prognozēts, ka </w:t>
      </w:r>
      <w:r w:rsidR="005E310B" w:rsidRPr="0089716E">
        <w:rPr>
          <w:rFonts w:eastAsia="Calibri"/>
        </w:rPr>
        <w:t>papildus vai saglabātais darbaspēks (</w:t>
      </w:r>
      <w:r w:rsidR="005E310B">
        <w:rPr>
          <w:rFonts w:eastAsia="Calibri"/>
        </w:rPr>
        <w:t>371</w:t>
      </w:r>
      <w:r w:rsidR="005E310B" w:rsidRPr="0089716E">
        <w:rPr>
          <w:rFonts w:eastAsia="Calibri"/>
        </w:rPr>
        <w:t xml:space="preserve"> cilvēks) tikai 202</w:t>
      </w:r>
      <w:r w:rsidR="005E310B">
        <w:rPr>
          <w:rFonts w:eastAsia="Calibri"/>
        </w:rPr>
        <w:t>4</w:t>
      </w:r>
      <w:r w:rsidR="005E310B" w:rsidRPr="0089716E">
        <w:rPr>
          <w:rFonts w:eastAsia="Calibri"/>
        </w:rPr>
        <w:t>.</w:t>
      </w:r>
      <w:r w:rsidR="005E310B">
        <w:rPr>
          <w:rFonts w:eastAsia="Calibri"/>
        </w:rPr>
        <w:t xml:space="preserve"> </w:t>
      </w:r>
      <w:r w:rsidR="005E310B" w:rsidRPr="0089716E">
        <w:rPr>
          <w:rFonts w:eastAsia="Calibri"/>
        </w:rPr>
        <w:t>gadā varēs nodrošināt</w:t>
      </w:r>
      <w:r w:rsidR="005E310B">
        <w:rPr>
          <w:rFonts w:eastAsia="Calibri"/>
        </w:rPr>
        <w:t xml:space="preserve"> papildus nodokļu iemaksu valsts budžetā 0,9 milj. </w:t>
      </w:r>
      <w:r w:rsidR="005E310B" w:rsidRPr="001D4FF3">
        <w:rPr>
          <w:rFonts w:eastAsia="Calibri"/>
          <w:i/>
          <w:iCs/>
        </w:rPr>
        <w:t>euro</w:t>
      </w:r>
      <w:r w:rsidR="005E310B">
        <w:rPr>
          <w:rFonts w:eastAsia="Calibri"/>
        </w:rPr>
        <w:t xml:space="preserve"> vērtībā un </w:t>
      </w:r>
      <w:r w:rsidR="005E310B" w:rsidRPr="0089716E">
        <w:rPr>
          <w:rFonts w:eastAsia="Calibri"/>
        </w:rPr>
        <w:t>kopējo</w:t>
      </w:r>
      <w:r w:rsidR="005E310B">
        <w:rPr>
          <w:rFonts w:eastAsia="Calibri"/>
        </w:rPr>
        <w:t xml:space="preserve"> nodokļu pieaugumu no 2024. gada līdz 2027. gadam 3,5 milj. </w:t>
      </w:r>
      <w:r w:rsidR="005E310B" w:rsidRPr="001D4FF3">
        <w:rPr>
          <w:rFonts w:eastAsia="Calibri"/>
          <w:i/>
          <w:iCs/>
        </w:rPr>
        <w:t>euro</w:t>
      </w:r>
      <w:r w:rsidR="005E310B">
        <w:rPr>
          <w:rFonts w:eastAsia="Calibri"/>
        </w:rPr>
        <w:t xml:space="preserve"> apmērā, un,</w:t>
      </w:r>
      <w:r w:rsidR="005E310B" w:rsidRPr="0089716E">
        <w:rPr>
          <w:rFonts w:eastAsia="Calibri"/>
        </w:rPr>
        <w:t xml:space="preserve"> piemērojot 5% diskonta likmi</w:t>
      </w:r>
      <w:r w:rsidR="005E310B">
        <w:rPr>
          <w:rFonts w:eastAsia="Calibri"/>
        </w:rPr>
        <w:t>,</w:t>
      </w:r>
      <w:r w:rsidR="005E310B" w:rsidRPr="0089716E">
        <w:rPr>
          <w:rFonts w:eastAsia="Calibri"/>
        </w:rPr>
        <w:t xml:space="preserve"> novērtētā papildus </w:t>
      </w:r>
      <w:r w:rsidR="005E310B">
        <w:rPr>
          <w:rFonts w:eastAsia="Calibri"/>
        </w:rPr>
        <w:t>iemaksāto nodokļu</w:t>
      </w:r>
      <w:r w:rsidR="005E310B" w:rsidRPr="0089716E">
        <w:rPr>
          <w:rFonts w:eastAsia="Calibri"/>
        </w:rPr>
        <w:t xml:space="preserve"> vērtība</w:t>
      </w:r>
      <w:r w:rsidR="005E310B">
        <w:rPr>
          <w:rFonts w:eastAsia="Calibri"/>
        </w:rPr>
        <w:t xml:space="preserve"> 2027. gadā būtu 3,1 milj. </w:t>
      </w:r>
      <w:r w:rsidR="005E310B" w:rsidRPr="001D4FF3">
        <w:rPr>
          <w:rFonts w:eastAsia="Calibri"/>
          <w:i/>
          <w:iCs/>
        </w:rPr>
        <w:t>euro</w:t>
      </w:r>
      <w:r w:rsidR="005E310B">
        <w:rPr>
          <w:rFonts w:eastAsia="Calibri"/>
        </w:rPr>
        <w:t xml:space="preserve"> vērta atbilstoši zemāk sniegtajam aprēķinam</w:t>
      </w:r>
      <w:r w:rsidR="000F7B05">
        <w:rPr>
          <w:rFonts w:eastAsia="Calibri"/>
        </w:rPr>
        <w:t xml:space="preserve"> (4.tabula)</w:t>
      </w:r>
      <w:r w:rsidR="005E310B">
        <w:rPr>
          <w:rFonts w:eastAsia="Calibri"/>
        </w:rPr>
        <w:t>:</w:t>
      </w:r>
    </w:p>
    <w:p w14:paraId="75FD4DED" w14:textId="77777777" w:rsidR="000F7B05" w:rsidRDefault="000F7B05" w:rsidP="005E310B">
      <w:pPr>
        <w:rPr>
          <w:rFonts w:eastAsia="Calibri"/>
        </w:rPr>
      </w:pPr>
    </w:p>
    <w:p w14:paraId="75CB9EF7" w14:textId="77777777" w:rsidR="000F7B05" w:rsidRPr="000F7B05" w:rsidRDefault="000F7B05" w:rsidP="000F7B05">
      <w:pPr>
        <w:rPr>
          <w:rFonts w:eastAsia="Calibri"/>
          <w:i/>
          <w:iCs/>
        </w:rPr>
      </w:pPr>
      <w:r w:rsidRPr="000F7B05">
        <w:rPr>
          <w:rFonts w:eastAsia="Calibri"/>
          <w:i/>
          <w:iCs/>
        </w:rPr>
        <w:t xml:space="preserve">4.tabula Sagaidāmie papildus nodokļi </w:t>
      </w:r>
      <w:r w:rsidRPr="000F7B05">
        <w:rPr>
          <w:rFonts w:eastAsia="Calibri"/>
          <w:bCs/>
          <w:i/>
          <w:iCs/>
          <w:szCs w:val="23"/>
        </w:rPr>
        <w:t xml:space="preserve">no </w:t>
      </w:r>
      <w:r w:rsidRPr="000F7B05">
        <w:rPr>
          <w:rFonts w:eastAsia="Calibri"/>
          <w:i/>
          <w:iCs/>
        </w:rPr>
        <w:t xml:space="preserve">PZMG rādītāja sasniegšanas no 2024. gada līdz 2027.gadam, euro </w:t>
      </w:r>
    </w:p>
    <w:p w14:paraId="7285ACC0" w14:textId="30C8EF57" w:rsidR="005E310B" w:rsidRDefault="005E310B" w:rsidP="005E310B">
      <w:pPr>
        <w:ind w:firstLine="0"/>
        <w:rPr>
          <w:rFonts w:eastAsia="Calibri"/>
        </w:rPr>
      </w:pPr>
      <w:r>
        <w:rPr>
          <w:noProof/>
        </w:rPr>
        <w:drawing>
          <wp:inline distT="0" distB="0" distL="0" distR="0" wp14:anchorId="2792A13E" wp14:editId="4EAD0DAB">
            <wp:extent cx="5937885" cy="694055"/>
            <wp:effectExtent l="0" t="0" r="5715" b="0"/>
            <wp:docPr id="352311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11491" name=""/>
                    <pic:cNvPicPr/>
                  </pic:nvPicPr>
                  <pic:blipFill>
                    <a:blip r:embed="rId12"/>
                    <a:stretch>
                      <a:fillRect/>
                    </a:stretch>
                  </pic:blipFill>
                  <pic:spPr>
                    <a:xfrm>
                      <a:off x="0" y="0"/>
                      <a:ext cx="5937885" cy="694055"/>
                    </a:xfrm>
                    <a:prstGeom prst="rect">
                      <a:avLst/>
                    </a:prstGeom>
                  </pic:spPr>
                </pic:pic>
              </a:graphicData>
            </a:graphic>
          </wp:inline>
        </w:drawing>
      </w:r>
    </w:p>
    <w:p w14:paraId="04E0DC8A" w14:textId="77777777" w:rsidR="005E310B" w:rsidRDefault="005E310B" w:rsidP="005E310B">
      <w:pPr>
        <w:ind w:firstLine="0"/>
        <w:rPr>
          <w:rFonts w:eastAsia="Calibri"/>
        </w:rPr>
      </w:pPr>
    </w:p>
    <w:p w14:paraId="1215E70F" w14:textId="62A31819" w:rsidR="005E310B" w:rsidRDefault="005E310B" w:rsidP="005E310B">
      <w:pPr>
        <w:ind w:firstLine="0"/>
        <w:rPr>
          <w:rFonts w:eastAsia="Times New Roman" w:cs="Times New Roman"/>
          <w:szCs w:val="24"/>
          <w:lang w:eastAsia="lv-LV"/>
        </w:rPr>
      </w:pPr>
      <w:r>
        <w:rPr>
          <w:rFonts w:eastAsia="Calibri"/>
        </w:rPr>
        <w:tab/>
        <w:t xml:space="preserve">Otrs </w:t>
      </w:r>
      <w:r w:rsidRPr="0089716E">
        <w:rPr>
          <w:rFonts w:eastAsia="Calibri"/>
        </w:rPr>
        <w:t xml:space="preserve">no </w:t>
      </w:r>
      <w:r>
        <w:rPr>
          <w:rFonts w:eastAsia="Calibri"/>
          <w:szCs w:val="24"/>
        </w:rPr>
        <w:t>Pamatnostādnēs</w:t>
      </w:r>
      <w:r w:rsidRPr="0089716E">
        <w:rPr>
          <w:rFonts w:eastAsia="Calibri"/>
          <w:szCs w:val="24"/>
        </w:rPr>
        <w:t xml:space="preserve"> uzstādīta</w:t>
      </w:r>
      <w:r>
        <w:rPr>
          <w:rFonts w:eastAsia="Calibri"/>
          <w:szCs w:val="24"/>
        </w:rPr>
        <w:t>jiem</w:t>
      </w:r>
      <w:r w:rsidRPr="0089716E">
        <w:rPr>
          <w:rFonts w:eastAsia="Calibri"/>
          <w:szCs w:val="24"/>
        </w:rPr>
        <w:t xml:space="preserve"> </w:t>
      </w:r>
      <w:r w:rsidRPr="0089716E">
        <w:rPr>
          <w:rFonts w:eastAsia="Calibri"/>
        </w:rPr>
        <w:t>mērķiem</w:t>
      </w:r>
      <w:r>
        <w:rPr>
          <w:rFonts w:eastAsia="Calibri"/>
        </w:rPr>
        <w:t xml:space="preserve"> ir </w:t>
      </w:r>
      <w:r w:rsidRPr="0089716E">
        <w:rPr>
          <w:szCs w:val="24"/>
        </w:rPr>
        <w:t>veselīgi nodzīvoto dzīves gadu</w:t>
      </w:r>
      <w:r>
        <w:rPr>
          <w:szCs w:val="24"/>
        </w:rPr>
        <w:t xml:space="preserve"> (turpmāk – VNDG) pagarināšana par diviem gadiem laika periodā no 2024. gada līdz 2027. gadam. </w:t>
      </w:r>
      <w:r w:rsidRPr="005E310B">
        <w:rPr>
          <w:rFonts w:eastAsia="Times New Roman" w:cs="Times New Roman"/>
          <w:szCs w:val="24"/>
          <w:lang w:eastAsia="lv-LV"/>
        </w:rPr>
        <w:t>Attiecīgi, pieaugot šim rādītājam, būtu jāsamazinās ne tikai mirstības rādītājiem, kas tiešā veidā ietekmē darbaspēka piedāvājumu, bet arī jāpaaugstinās strādājošo produktivitātei, jābūt retākām un īsākām slimības lapām, kas pozitīvi ietekmē darba ražīgumu un samazina budžeta izdevumus sociāliem un slimības pabalstiem, tai skaitā veicina pirmspensijas un pensijas vecuma cilvēku ekonomisko aktivitāti.</w:t>
      </w:r>
    </w:p>
    <w:p w14:paraId="5891A7CB" w14:textId="753E5C09" w:rsidR="005E310B" w:rsidRDefault="005E310B" w:rsidP="005E310B">
      <w:pPr>
        <w:ind w:firstLine="720"/>
        <w:rPr>
          <w:rFonts w:eastAsia="Times New Roman" w:cs="Times New Roman"/>
          <w:szCs w:val="24"/>
          <w:lang w:eastAsia="lv-LV"/>
        </w:rPr>
      </w:pPr>
      <w:r w:rsidRPr="005E310B">
        <w:rPr>
          <w:rFonts w:eastAsia="Times New Roman" w:cs="Times New Roman"/>
          <w:szCs w:val="24"/>
          <w:lang w:eastAsia="lv-LV"/>
        </w:rPr>
        <w:t>Pieņemsim, ka no 2024. gada līdz 2027. gadam VNDG rādītāja uzlabojums notiks pakāpeniski, t.i. ar nemainīgu absolūto pieaugumu 6 mēneši kalendārajā gadā (kopējais 2 gadu jeb 24 mēnešu pagarinājums / 4 gadi = 6 mēneši / gadā) un 28,9%</w:t>
      </w:r>
      <w:r w:rsidRPr="0089716E">
        <w:rPr>
          <w:rFonts w:eastAsia="Calibri" w:cs="Calibri"/>
          <w:szCs w:val="24"/>
          <w:vertAlign w:val="superscript"/>
        </w:rPr>
        <w:footnoteReference w:id="1"/>
      </w:r>
      <w:r w:rsidRPr="005E310B">
        <w:rPr>
          <w:rFonts w:eastAsia="Times New Roman" w:cs="Times New Roman"/>
          <w:szCs w:val="24"/>
          <w:vertAlign w:val="superscript"/>
          <w:lang w:eastAsia="lv-LV"/>
        </w:rPr>
        <w:t xml:space="preserve"> </w:t>
      </w:r>
      <w:r w:rsidRPr="005E310B">
        <w:rPr>
          <w:rFonts w:eastAsia="Times New Roman" w:cs="Times New Roman"/>
          <w:szCs w:val="24"/>
          <w:lang w:eastAsia="lv-LV"/>
        </w:rPr>
        <w:t xml:space="preserve">no visa </w:t>
      </w:r>
      <w:r w:rsidR="00AC3E7D">
        <w:rPr>
          <w:rFonts w:eastAsia="Times New Roman" w:cs="Times New Roman"/>
          <w:szCs w:val="24"/>
          <w:lang w:eastAsia="lv-LV"/>
        </w:rPr>
        <w:t>4.1.2. SAM</w:t>
      </w:r>
      <w:r w:rsidRPr="005E310B">
        <w:rPr>
          <w:rFonts w:eastAsia="Times New Roman" w:cs="Times New Roman"/>
          <w:szCs w:val="24"/>
          <w:lang w:eastAsia="lv-LV"/>
        </w:rPr>
        <w:t xml:space="preserve"> rezultāta rādītāja - iedzīvotāju skaita, kuri pēdējā gada laikā veselības apsvērumu dēļ ESF+ veselības veicināšanas pasākumu ietekmē ir mainījuši uztura un citus dzīvesveida paradumus, nodrošinot, ka uz 2029. gada 31.decembri sasniegta rādītāja vērtība ir 50 000 iedzīvotāji, tostarp uztura un citus dzīvesveida paradumu maiņai, būs uzlabojuši savu veselību, novērsuši veselības problēmas, kas vismaz pēdējo 6 mēnešu laikā bija traucējušas vai ierobežojušas ikdienas aktivitātes mājās, darbā vai atpūtā un atgriezīsies darba tirgū.</w:t>
      </w:r>
      <w:r w:rsidRPr="005E310B">
        <w:rPr>
          <w:rFonts w:eastAsia="Times New Roman" w:cs="Times New Roman"/>
          <w:szCs w:val="24"/>
          <w:lang w:eastAsia="lv-LV"/>
        </w:rPr>
        <w:br/>
        <w:t xml:space="preserve">Pie šāda pieņēmuma ir sagaidāms, ka kopumā no 2024. gada līdz 2029. gadam ESF+ veselības veicināšanas pasākumu ietekmē tiks novērsti zaudējumi slimības pabalstiem vismaz 8,6 milj. </w:t>
      </w:r>
      <w:r w:rsidRPr="005E310B">
        <w:rPr>
          <w:rFonts w:eastAsia="Times New Roman" w:cs="Times New Roman"/>
          <w:i/>
          <w:iCs/>
          <w:szCs w:val="24"/>
          <w:lang w:eastAsia="lv-LV"/>
        </w:rPr>
        <w:t>euro</w:t>
      </w:r>
      <w:r w:rsidRPr="005E310B">
        <w:rPr>
          <w:rFonts w:eastAsia="Times New Roman" w:cs="Times New Roman"/>
          <w:szCs w:val="24"/>
          <w:lang w:eastAsia="lv-LV"/>
        </w:rPr>
        <w:t xml:space="preserve"> apmērā un samazināsies veselības aprūpes izmaksas gan valsts budžetam, gan iedzīvotāju slogam kopumā vismaz par 52,6 milj. </w:t>
      </w:r>
      <w:r w:rsidRPr="005E310B">
        <w:rPr>
          <w:rFonts w:eastAsia="Times New Roman" w:cs="Times New Roman"/>
          <w:i/>
          <w:iCs/>
          <w:szCs w:val="24"/>
          <w:lang w:eastAsia="lv-LV"/>
        </w:rPr>
        <w:t>euro</w:t>
      </w:r>
      <w:r w:rsidRPr="005E310B">
        <w:rPr>
          <w:rFonts w:eastAsia="Times New Roman" w:cs="Times New Roman"/>
          <w:szCs w:val="24"/>
          <w:lang w:eastAsia="lv-LV"/>
        </w:rPr>
        <w:t xml:space="preserve">. Tāpat, pie proporcionāla VNDG rādītāja palielinājuma visās vecumgrupās (līdz 64 gadiem) par 6 mēnešiem kalendārajā gadā prognozēts, ka ESF+ veselības veicināšanas pasākumu ietekmē radušais papildus darbaspēks tikai 2024. gadā varēs nodrošināt papildus nodokļu iemaksu kopbudžetā 4,5 milj. </w:t>
      </w:r>
      <w:r w:rsidRPr="005E310B">
        <w:rPr>
          <w:rFonts w:eastAsia="Times New Roman" w:cs="Times New Roman"/>
          <w:i/>
          <w:iCs/>
          <w:szCs w:val="24"/>
          <w:lang w:eastAsia="lv-LV"/>
        </w:rPr>
        <w:t>euro</w:t>
      </w:r>
      <w:r w:rsidRPr="005E310B">
        <w:rPr>
          <w:rFonts w:eastAsia="Times New Roman" w:cs="Times New Roman"/>
          <w:szCs w:val="24"/>
          <w:lang w:eastAsia="lv-LV"/>
        </w:rPr>
        <w:t xml:space="preserve"> vērtībā un kopējo nodokļu </w:t>
      </w:r>
      <w:r w:rsidRPr="005E310B">
        <w:rPr>
          <w:rFonts w:eastAsia="Times New Roman" w:cs="Times New Roman"/>
          <w:szCs w:val="24"/>
          <w:lang w:eastAsia="lv-LV"/>
        </w:rPr>
        <w:lastRenderedPageBreak/>
        <w:t xml:space="preserve">pieaugumu no 2024. gada līdz 2027. gadam 90,3 milj. </w:t>
      </w:r>
      <w:r w:rsidRPr="005E310B">
        <w:rPr>
          <w:rFonts w:eastAsia="Times New Roman" w:cs="Times New Roman"/>
          <w:i/>
          <w:iCs/>
          <w:szCs w:val="24"/>
          <w:lang w:eastAsia="lv-LV"/>
        </w:rPr>
        <w:t>euro</w:t>
      </w:r>
      <w:r w:rsidRPr="005E310B">
        <w:rPr>
          <w:rFonts w:eastAsia="Times New Roman" w:cs="Times New Roman"/>
          <w:szCs w:val="24"/>
          <w:lang w:eastAsia="lv-LV"/>
        </w:rPr>
        <w:t xml:space="preserve"> apmērā.</w:t>
      </w:r>
      <w:r w:rsidRPr="005E310B">
        <w:rPr>
          <w:rFonts w:eastAsia="Times New Roman" w:cs="Times New Roman"/>
          <w:szCs w:val="24"/>
          <w:lang w:eastAsia="lv-LV"/>
        </w:rPr>
        <w:br/>
        <w:t xml:space="preserve">Detalizēts skaidrojums sniegts sekojošajā </w:t>
      </w:r>
      <w:r w:rsidR="000F7B05">
        <w:rPr>
          <w:rFonts w:eastAsia="Times New Roman" w:cs="Times New Roman"/>
          <w:szCs w:val="24"/>
          <w:lang w:eastAsia="lv-LV"/>
        </w:rPr>
        <w:t>5.</w:t>
      </w:r>
      <w:r w:rsidRPr="005E310B">
        <w:rPr>
          <w:rFonts w:eastAsia="Times New Roman" w:cs="Times New Roman"/>
          <w:szCs w:val="24"/>
          <w:lang w:eastAsia="lv-LV"/>
        </w:rPr>
        <w:t>tabulā:   </w:t>
      </w:r>
    </w:p>
    <w:p w14:paraId="5433DD70" w14:textId="77777777" w:rsidR="000F7B05" w:rsidRDefault="000F7B05" w:rsidP="005E310B">
      <w:pPr>
        <w:ind w:firstLine="720"/>
        <w:rPr>
          <w:rFonts w:eastAsia="Times New Roman" w:cs="Times New Roman"/>
          <w:szCs w:val="24"/>
          <w:lang w:eastAsia="lv-LV"/>
        </w:rPr>
      </w:pPr>
    </w:p>
    <w:p w14:paraId="4D472ECB" w14:textId="381535A8" w:rsidR="000F7B05" w:rsidRPr="000F7B05" w:rsidRDefault="000F7B05" w:rsidP="005E310B">
      <w:pPr>
        <w:ind w:firstLine="720"/>
        <w:rPr>
          <w:rFonts w:eastAsia="Times New Roman" w:cs="Times New Roman"/>
          <w:i/>
          <w:iCs/>
          <w:szCs w:val="24"/>
          <w:lang w:eastAsia="lv-LV"/>
        </w:rPr>
      </w:pPr>
      <w:r>
        <w:rPr>
          <w:rFonts w:eastAsia="Times New Roman" w:cs="Times New Roman"/>
          <w:szCs w:val="24"/>
          <w:lang w:eastAsia="lv-LV"/>
        </w:rPr>
        <w:t xml:space="preserve"> </w:t>
      </w:r>
      <w:r w:rsidRPr="000F7B05">
        <w:rPr>
          <w:rFonts w:eastAsia="Times New Roman" w:cs="Times New Roman"/>
          <w:i/>
          <w:iCs/>
          <w:szCs w:val="24"/>
          <w:lang w:eastAsia="lv-LV"/>
        </w:rPr>
        <w:t>5.tabula Sagaidāmie ieguvumi no VN</w:t>
      </w:r>
      <w:r w:rsidR="00AF0047">
        <w:rPr>
          <w:rFonts w:eastAsia="Times New Roman" w:cs="Times New Roman"/>
          <w:i/>
          <w:iCs/>
          <w:szCs w:val="24"/>
          <w:lang w:eastAsia="lv-LV"/>
        </w:rPr>
        <w:t>D</w:t>
      </w:r>
      <w:r w:rsidRPr="000F7B05">
        <w:rPr>
          <w:rFonts w:eastAsia="Times New Roman" w:cs="Times New Roman"/>
          <w:i/>
          <w:iCs/>
          <w:szCs w:val="24"/>
          <w:lang w:eastAsia="lv-LV"/>
        </w:rPr>
        <w:t>G rādītāja sasniegšanas no 2024. gada līdz 2029. gadam, euro</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2402"/>
        <w:gridCol w:w="851"/>
        <w:gridCol w:w="850"/>
        <w:gridCol w:w="851"/>
        <w:gridCol w:w="850"/>
        <w:gridCol w:w="851"/>
        <w:gridCol w:w="850"/>
        <w:gridCol w:w="851"/>
        <w:gridCol w:w="979"/>
      </w:tblGrid>
      <w:tr w:rsidR="005E310B" w:rsidRPr="005E310B" w14:paraId="4B725A34"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66DEF9E0"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1324EC2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2022</w:t>
            </w:r>
          </w:p>
        </w:tc>
        <w:tc>
          <w:tcPr>
            <w:tcW w:w="850" w:type="dxa"/>
            <w:tcBorders>
              <w:top w:val="outset" w:sz="6" w:space="0" w:color="auto"/>
              <w:left w:val="outset" w:sz="6" w:space="0" w:color="auto"/>
              <w:bottom w:val="outset" w:sz="6" w:space="0" w:color="auto"/>
              <w:right w:val="outset" w:sz="6" w:space="0" w:color="auto"/>
            </w:tcBorders>
            <w:vAlign w:val="center"/>
            <w:hideMark/>
          </w:tcPr>
          <w:p w14:paraId="0A837B1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2023</w:t>
            </w:r>
          </w:p>
        </w:tc>
        <w:tc>
          <w:tcPr>
            <w:tcW w:w="851" w:type="dxa"/>
            <w:tcBorders>
              <w:top w:val="outset" w:sz="6" w:space="0" w:color="auto"/>
              <w:left w:val="outset" w:sz="6" w:space="0" w:color="auto"/>
              <w:bottom w:val="outset" w:sz="6" w:space="0" w:color="auto"/>
              <w:right w:val="outset" w:sz="6" w:space="0" w:color="auto"/>
            </w:tcBorders>
            <w:vAlign w:val="center"/>
            <w:hideMark/>
          </w:tcPr>
          <w:p w14:paraId="7115F7A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2024</w:t>
            </w:r>
          </w:p>
        </w:tc>
        <w:tc>
          <w:tcPr>
            <w:tcW w:w="850" w:type="dxa"/>
            <w:tcBorders>
              <w:top w:val="outset" w:sz="6" w:space="0" w:color="auto"/>
              <w:left w:val="outset" w:sz="6" w:space="0" w:color="auto"/>
              <w:bottom w:val="outset" w:sz="6" w:space="0" w:color="auto"/>
              <w:right w:val="outset" w:sz="6" w:space="0" w:color="auto"/>
            </w:tcBorders>
            <w:vAlign w:val="center"/>
            <w:hideMark/>
          </w:tcPr>
          <w:p w14:paraId="72CB64E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2025</w:t>
            </w:r>
          </w:p>
        </w:tc>
        <w:tc>
          <w:tcPr>
            <w:tcW w:w="851" w:type="dxa"/>
            <w:tcBorders>
              <w:top w:val="outset" w:sz="6" w:space="0" w:color="auto"/>
              <w:left w:val="outset" w:sz="6" w:space="0" w:color="auto"/>
              <w:bottom w:val="outset" w:sz="6" w:space="0" w:color="auto"/>
              <w:right w:val="outset" w:sz="6" w:space="0" w:color="auto"/>
            </w:tcBorders>
            <w:vAlign w:val="center"/>
            <w:hideMark/>
          </w:tcPr>
          <w:p w14:paraId="7FEB405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2026</w:t>
            </w:r>
          </w:p>
        </w:tc>
        <w:tc>
          <w:tcPr>
            <w:tcW w:w="850" w:type="dxa"/>
            <w:tcBorders>
              <w:top w:val="outset" w:sz="6" w:space="0" w:color="auto"/>
              <w:left w:val="outset" w:sz="6" w:space="0" w:color="auto"/>
              <w:bottom w:val="outset" w:sz="6" w:space="0" w:color="auto"/>
              <w:right w:val="outset" w:sz="6" w:space="0" w:color="auto"/>
            </w:tcBorders>
            <w:vAlign w:val="center"/>
            <w:hideMark/>
          </w:tcPr>
          <w:p w14:paraId="7F1059F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2027</w:t>
            </w:r>
          </w:p>
        </w:tc>
        <w:tc>
          <w:tcPr>
            <w:tcW w:w="851" w:type="dxa"/>
            <w:tcBorders>
              <w:top w:val="outset" w:sz="6" w:space="0" w:color="auto"/>
              <w:left w:val="outset" w:sz="6" w:space="0" w:color="auto"/>
              <w:bottom w:val="outset" w:sz="6" w:space="0" w:color="auto"/>
              <w:right w:val="outset" w:sz="6" w:space="0" w:color="auto"/>
            </w:tcBorders>
            <w:vAlign w:val="center"/>
            <w:hideMark/>
          </w:tcPr>
          <w:p w14:paraId="31594003"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2028</w:t>
            </w:r>
          </w:p>
        </w:tc>
        <w:tc>
          <w:tcPr>
            <w:tcW w:w="979" w:type="dxa"/>
            <w:tcBorders>
              <w:top w:val="outset" w:sz="6" w:space="0" w:color="auto"/>
              <w:left w:val="outset" w:sz="6" w:space="0" w:color="auto"/>
              <w:bottom w:val="outset" w:sz="6" w:space="0" w:color="auto"/>
              <w:right w:val="outset" w:sz="6" w:space="0" w:color="auto"/>
            </w:tcBorders>
            <w:vAlign w:val="center"/>
            <w:hideMark/>
          </w:tcPr>
          <w:p w14:paraId="47F98BBB"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2029</w:t>
            </w:r>
          </w:p>
        </w:tc>
      </w:tr>
      <w:tr w:rsidR="005E310B" w:rsidRPr="005E310B" w14:paraId="5D76BE31"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7CFB4B7D" w14:textId="54E4201B"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Iedzīvotāju skaits uz perioda sākumu</w:t>
            </w:r>
            <w:r w:rsidRPr="005E310B">
              <w:rPr>
                <w:rFonts w:eastAsia="Calibri" w:cs="Calibri"/>
                <w:sz w:val="20"/>
                <w:szCs w:val="20"/>
                <w:vertAlign w:val="superscript"/>
              </w:rPr>
              <w:footnoteReference w:id="2"/>
            </w:r>
            <w:r w:rsidRPr="005E310B">
              <w:rPr>
                <w:rFonts w:eastAsia="Times New Roman" w:cs="Times New Roman"/>
                <w:b/>
                <w:bCs/>
                <w:sz w:val="20"/>
                <w:szCs w:val="20"/>
                <w:lang w:eastAsia="lv-LV"/>
              </w:rPr>
              <w:t xml:space="preserve"> (Iedz)</w:t>
            </w:r>
            <w:r w:rsidRPr="005E310B">
              <w:rPr>
                <w:rFonts w:eastAsia="Times New Roman" w:cs="Times New Roman"/>
                <w:sz w:val="20"/>
                <w:szCs w:val="20"/>
                <w:lang w:eastAsia="lv-LV"/>
              </w:rPr>
              <w:t>, cilv. sk.</w:t>
            </w:r>
          </w:p>
        </w:tc>
        <w:tc>
          <w:tcPr>
            <w:tcW w:w="851" w:type="dxa"/>
            <w:tcBorders>
              <w:top w:val="outset" w:sz="6" w:space="0" w:color="auto"/>
              <w:left w:val="outset" w:sz="6" w:space="0" w:color="auto"/>
              <w:bottom w:val="outset" w:sz="6" w:space="0" w:color="auto"/>
              <w:right w:val="outset" w:sz="6" w:space="0" w:color="auto"/>
            </w:tcBorders>
            <w:vAlign w:val="center"/>
            <w:hideMark/>
          </w:tcPr>
          <w:p w14:paraId="4F8BE90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1 875 757</w:t>
            </w:r>
          </w:p>
        </w:tc>
        <w:tc>
          <w:tcPr>
            <w:tcW w:w="850" w:type="dxa"/>
            <w:tcBorders>
              <w:top w:val="outset" w:sz="6" w:space="0" w:color="auto"/>
              <w:left w:val="outset" w:sz="6" w:space="0" w:color="auto"/>
              <w:bottom w:val="outset" w:sz="6" w:space="0" w:color="auto"/>
              <w:right w:val="outset" w:sz="6" w:space="0" w:color="auto"/>
            </w:tcBorders>
            <w:vAlign w:val="center"/>
            <w:hideMark/>
          </w:tcPr>
          <w:p w14:paraId="4576A919"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744206D6"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240D2905"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27EB603D"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BD7B937"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6DE9172B"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222AC28F"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089AD466"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2F6B3A43" w14:textId="3CCB31CD"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Strādājošo mēneša vidējā darba samaksa</w:t>
            </w:r>
            <w:r w:rsidRPr="005E310B">
              <w:rPr>
                <w:rFonts w:eastAsia="Calibri" w:cs="Calibri"/>
                <w:sz w:val="20"/>
                <w:szCs w:val="20"/>
                <w:vertAlign w:val="superscript"/>
              </w:rPr>
              <w:footnoteReference w:id="3"/>
            </w:r>
            <w:r w:rsidRPr="005E310B">
              <w:rPr>
                <w:rFonts w:eastAsia="Times New Roman" w:cs="Times New Roman"/>
                <w:sz w:val="20"/>
                <w:szCs w:val="20"/>
                <w:lang w:eastAsia="lv-LV"/>
              </w:rPr>
              <w:t> </w:t>
            </w:r>
            <w:r w:rsidRPr="005E310B">
              <w:rPr>
                <w:rFonts w:eastAsia="Times New Roman" w:cs="Times New Roman"/>
                <w:b/>
                <w:bCs/>
                <w:sz w:val="20"/>
                <w:szCs w:val="20"/>
                <w:lang w:eastAsia="lv-LV"/>
              </w:rPr>
              <w:t>(DSam)</w:t>
            </w:r>
            <w:r w:rsidRPr="005E310B">
              <w:rPr>
                <w:rFonts w:eastAsia="Times New Roman" w:cs="Times New Roman"/>
                <w:sz w:val="20"/>
                <w:szCs w:val="20"/>
                <w:lang w:eastAsia="lv-LV"/>
              </w:rPr>
              <w:t xml:space="preserve"> (</w:t>
            </w:r>
            <w:r w:rsidRPr="005E310B">
              <w:rPr>
                <w:rFonts w:eastAsia="Times New Roman" w:cs="Times New Roman"/>
                <w:i/>
                <w:iCs/>
                <w:sz w:val="20"/>
                <w:szCs w:val="20"/>
                <w:lang w:eastAsia="lv-LV"/>
              </w:rPr>
              <w:t>euro</w:t>
            </w:r>
            <w:r w:rsidRPr="005E310B">
              <w:rPr>
                <w:rFonts w:eastAsia="Times New Roman" w:cs="Times New Roman"/>
                <w:sz w:val="20"/>
                <w:szCs w:val="20"/>
                <w:lang w:eastAsia="lv-LV"/>
              </w:rPr>
              <w:t>)</w:t>
            </w:r>
          </w:p>
        </w:tc>
        <w:tc>
          <w:tcPr>
            <w:tcW w:w="851" w:type="dxa"/>
            <w:tcBorders>
              <w:top w:val="outset" w:sz="6" w:space="0" w:color="auto"/>
              <w:left w:val="outset" w:sz="6" w:space="0" w:color="auto"/>
              <w:bottom w:val="outset" w:sz="6" w:space="0" w:color="auto"/>
              <w:right w:val="outset" w:sz="6" w:space="0" w:color="auto"/>
            </w:tcBorders>
            <w:vAlign w:val="center"/>
            <w:hideMark/>
          </w:tcPr>
          <w:p w14:paraId="3FA6FBB9"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413CAD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1 545</w:t>
            </w:r>
          </w:p>
        </w:tc>
        <w:tc>
          <w:tcPr>
            <w:tcW w:w="851" w:type="dxa"/>
            <w:tcBorders>
              <w:top w:val="outset" w:sz="6" w:space="0" w:color="auto"/>
              <w:left w:val="outset" w:sz="6" w:space="0" w:color="auto"/>
              <w:bottom w:val="outset" w:sz="6" w:space="0" w:color="auto"/>
              <w:right w:val="outset" w:sz="6" w:space="0" w:color="auto"/>
            </w:tcBorders>
            <w:vAlign w:val="center"/>
            <w:hideMark/>
          </w:tcPr>
          <w:p w14:paraId="065868E7"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8BD2982"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5BEE0D8F"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568AFCAB"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2D0BFE2B"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40228D7D"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69623FDD"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36D2F45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Ar darba samaksu saistīto nodokļu apjoms uz vienu vidējo darba samaksu (</w:t>
            </w:r>
            <w:r w:rsidRPr="005E310B">
              <w:rPr>
                <w:rFonts w:eastAsia="Times New Roman" w:cs="Times New Roman"/>
                <w:i/>
                <w:iCs/>
                <w:sz w:val="20"/>
                <w:szCs w:val="20"/>
                <w:lang w:eastAsia="lv-LV"/>
              </w:rPr>
              <w:t>euro</w:t>
            </w:r>
            <w:r w:rsidRPr="005E310B">
              <w:rPr>
                <w:rFonts w:eastAsia="Times New Roman" w:cs="Times New Roman"/>
                <w:sz w:val="20"/>
                <w:szCs w:val="20"/>
                <w:lang w:eastAsia="lv-LV"/>
              </w:rPr>
              <w:t xml:space="preserve">) mēnesī </w:t>
            </w:r>
            <w:r w:rsidRPr="005E310B">
              <w:rPr>
                <w:rFonts w:eastAsia="Times New Roman" w:cs="Times New Roman"/>
                <w:b/>
                <w:bCs/>
                <w:sz w:val="20"/>
                <w:szCs w:val="20"/>
                <w:lang w:eastAsia="lv-LV"/>
              </w:rPr>
              <w:t>(Nod)</w:t>
            </w:r>
          </w:p>
        </w:tc>
        <w:tc>
          <w:tcPr>
            <w:tcW w:w="851" w:type="dxa"/>
            <w:tcBorders>
              <w:top w:val="outset" w:sz="6" w:space="0" w:color="auto"/>
              <w:left w:val="outset" w:sz="6" w:space="0" w:color="auto"/>
              <w:bottom w:val="outset" w:sz="6" w:space="0" w:color="auto"/>
              <w:right w:val="outset" w:sz="6" w:space="0" w:color="auto"/>
            </w:tcBorders>
            <w:vAlign w:val="center"/>
            <w:hideMark/>
          </w:tcPr>
          <w:p w14:paraId="55F3A828"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7F86F37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797</w:t>
            </w:r>
          </w:p>
        </w:tc>
        <w:tc>
          <w:tcPr>
            <w:tcW w:w="851" w:type="dxa"/>
            <w:tcBorders>
              <w:top w:val="outset" w:sz="6" w:space="0" w:color="auto"/>
              <w:left w:val="outset" w:sz="6" w:space="0" w:color="auto"/>
              <w:bottom w:val="outset" w:sz="6" w:space="0" w:color="auto"/>
              <w:right w:val="outset" w:sz="6" w:space="0" w:color="auto"/>
            </w:tcBorders>
            <w:vAlign w:val="center"/>
            <w:hideMark/>
          </w:tcPr>
          <w:p w14:paraId="77376D34"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246554A9"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5E6D991B"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2D97861D"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2900D031"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1F3FB07C"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77DB6B52"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7938F1AD" w14:textId="084D6516"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Izdevumi slimības pabalstu izmaksām 2022.gadā</w:t>
            </w:r>
            <w:r w:rsidRPr="005E310B">
              <w:rPr>
                <w:rFonts w:eastAsia="Calibri" w:cs="Calibri"/>
                <w:sz w:val="20"/>
                <w:szCs w:val="20"/>
                <w:vertAlign w:val="superscript"/>
              </w:rPr>
              <w:footnoteReference w:id="4"/>
            </w:r>
            <w:r w:rsidRPr="005E310B">
              <w:rPr>
                <w:rFonts w:eastAsia="Times New Roman" w:cs="Times New Roman"/>
                <w:sz w:val="20"/>
                <w:szCs w:val="20"/>
                <w:lang w:eastAsia="lv-LV"/>
              </w:rPr>
              <w:t> </w:t>
            </w:r>
            <w:r w:rsidRPr="005E310B">
              <w:rPr>
                <w:rFonts w:eastAsia="Times New Roman" w:cs="Times New Roman"/>
                <w:b/>
                <w:bCs/>
                <w:sz w:val="20"/>
                <w:szCs w:val="20"/>
                <w:lang w:eastAsia="lv-LV"/>
              </w:rPr>
              <w:t>(SPab)</w:t>
            </w:r>
            <w:r w:rsidRPr="005E310B">
              <w:rPr>
                <w:rFonts w:eastAsia="Times New Roman" w:cs="Times New Roman"/>
                <w:sz w:val="20"/>
                <w:szCs w:val="20"/>
                <w:lang w:eastAsia="lv-LV"/>
              </w:rPr>
              <w:t>, tūkst. </w:t>
            </w:r>
            <w:r w:rsidRPr="005E310B">
              <w:rPr>
                <w:rFonts w:eastAsia="Times New Roman" w:cs="Times New Roman"/>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189C655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358 575</w:t>
            </w:r>
          </w:p>
        </w:tc>
        <w:tc>
          <w:tcPr>
            <w:tcW w:w="850" w:type="dxa"/>
            <w:tcBorders>
              <w:top w:val="outset" w:sz="6" w:space="0" w:color="auto"/>
              <w:left w:val="outset" w:sz="6" w:space="0" w:color="auto"/>
              <w:bottom w:val="outset" w:sz="6" w:space="0" w:color="auto"/>
              <w:right w:val="outset" w:sz="6" w:space="0" w:color="auto"/>
            </w:tcBorders>
            <w:vAlign w:val="center"/>
            <w:hideMark/>
          </w:tcPr>
          <w:p w14:paraId="42E9BA2A"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1B97B022"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254CB7C8"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0B334CAD"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4A11343B"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110D9BCB"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521E84D9"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0795BA5A"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37B1179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 xml:space="preserve">Slimības pabalstu apjoms uz vienu iedzīvotāju gadā </w:t>
            </w:r>
            <w:r w:rsidRPr="005E310B">
              <w:rPr>
                <w:rFonts w:eastAsia="Times New Roman" w:cs="Times New Roman"/>
                <w:b/>
                <w:bCs/>
                <w:sz w:val="20"/>
                <w:szCs w:val="20"/>
                <w:lang w:eastAsia="lv-LV"/>
              </w:rPr>
              <w:t>(SPab</w:t>
            </w:r>
            <w:r w:rsidRPr="005E310B">
              <w:rPr>
                <w:rFonts w:eastAsia="Times New Roman" w:cs="Times New Roman"/>
                <w:sz w:val="20"/>
                <w:szCs w:val="20"/>
                <w:lang w:eastAsia="lv-LV"/>
              </w:rPr>
              <w:t>/</w:t>
            </w:r>
            <w:r w:rsidRPr="005E310B">
              <w:rPr>
                <w:rFonts w:eastAsia="Times New Roman" w:cs="Times New Roman"/>
                <w:b/>
                <w:bCs/>
                <w:sz w:val="20"/>
                <w:szCs w:val="20"/>
                <w:lang w:eastAsia="lv-LV"/>
              </w:rPr>
              <w:t>Iedz)</w:t>
            </w:r>
            <w:r w:rsidRPr="005E310B">
              <w:rPr>
                <w:rFonts w:eastAsia="Times New Roman" w:cs="Times New Roman"/>
                <w:sz w:val="20"/>
                <w:szCs w:val="20"/>
                <w:lang w:eastAsia="lv-LV"/>
              </w:rPr>
              <w:t xml:space="preserve">, </w:t>
            </w:r>
            <w:r w:rsidRPr="005E310B">
              <w:rPr>
                <w:rFonts w:eastAsia="Times New Roman" w:cs="Times New Roman"/>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1FE3880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191,16</w:t>
            </w:r>
          </w:p>
        </w:tc>
        <w:tc>
          <w:tcPr>
            <w:tcW w:w="850" w:type="dxa"/>
            <w:tcBorders>
              <w:top w:val="outset" w:sz="6" w:space="0" w:color="auto"/>
              <w:left w:val="outset" w:sz="6" w:space="0" w:color="auto"/>
              <w:bottom w:val="outset" w:sz="6" w:space="0" w:color="auto"/>
              <w:right w:val="outset" w:sz="6" w:space="0" w:color="auto"/>
            </w:tcBorders>
            <w:vAlign w:val="center"/>
            <w:hideMark/>
          </w:tcPr>
          <w:p w14:paraId="76E62B8A"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77213368"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4FBE1ABC"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4B14852C"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6D45D1E2"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2A91B055"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32266FA4"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73FD9E39"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161AC505" w14:textId="2DDCD8AC"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 xml:space="preserve">Izdevumi veselības aprūpei pavisam 2020.gadā </w:t>
            </w:r>
            <w:r w:rsidRPr="005E310B">
              <w:rPr>
                <w:rFonts w:eastAsia="Times New Roman" w:cs="Times New Roman"/>
                <w:b/>
                <w:bCs/>
                <w:sz w:val="20"/>
                <w:szCs w:val="20"/>
                <w:lang w:eastAsia="lv-LV"/>
              </w:rPr>
              <w:t>(IzdVes)</w:t>
            </w:r>
            <w:r w:rsidRPr="005E310B">
              <w:rPr>
                <w:rFonts w:eastAsia="Times New Roman" w:cs="Times New Roman"/>
                <w:sz w:val="20"/>
                <w:szCs w:val="20"/>
                <w:lang w:eastAsia="lv-LV"/>
              </w:rPr>
              <w:t xml:space="preserve">, milj. </w:t>
            </w:r>
            <w:r w:rsidRPr="005E310B">
              <w:rPr>
                <w:rFonts w:eastAsia="Times New Roman" w:cs="Times New Roman"/>
                <w:i/>
                <w:iCs/>
                <w:sz w:val="20"/>
                <w:szCs w:val="20"/>
                <w:lang w:eastAsia="lv-LV"/>
              </w:rPr>
              <w:t>euro</w:t>
            </w:r>
            <w:r w:rsidRPr="005E310B">
              <w:rPr>
                <w:rFonts w:eastAsia="Times New Roman" w:cs="Times New Roman"/>
                <w:sz w:val="20"/>
                <w:szCs w:val="20"/>
                <w:lang w:eastAsia="lv-LV"/>
              </w:rPr>
              <w:t xml:space="preserve"> (pēdējie dati uz 2020.g.)</w:t>
            </w:r>
            <w:r w:rsidRPr="005E310B">
              <w:rPr>
                <w:rFonts w:eastAsia="Calibri" w:cs="Calibri"/>
                <w:sz w:val="20"/>
                <w:szCs w:val="20"/>
                <w:vertAlign w:val="superscript"/>
              </w:rPr>
              <w:t xml:space="preserve"> </w:t>
            </w:r>
            <w:r w:rsidRPr="005E310B">
              <w:rPr>
                <w:rFonts w:eastAsia="Calibri" w:cs="Calibri"/>
                <w:sz w:val="20"/>
                <w:szCs w:val="20"/>
                <w:vertAlign w:val="superscript"/>
              </w:rPr>
              <w:footnoteReference w:id="5"/>
            </w:r>
          </w:p>
        </w:tc>
        <w:tc>
          <w:tcPr>
            <w:tcW w:w="851" w:type="dxa"/>
            <w:tcBorders>
              <w:top w:val="outset" w:sz="6" w:space="0" w:color="auto"/>
              <w:left w:val="outset" w:sz="6" w:space="0" w:color="auto"/>
              <w:bottom w:val="outset" w:sz="6" w:space="0" w:color="auto"/>
              <w:right w:val="outset" w:sz="6" w:space="0" w:color="auto"/>
            </w:tcBorders>
            <w:vAlign w:val="center"/>
            <w:hideMark/>
          </w:tcPr>
          <w:p w14:paraId="1C051EB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2 193,5</w:t>
            </w:r>
          </w:p>
        </w:tc>
        <w:tc>
          <w:tcPr>
            <w:tcW w:w="850" w:type="dxa"/>
            <w:tcBorders>
              <w:top w:val="outset" w:sz="6" w:space="0" w:color="auto"/>
              <w:left w:val="outset" w:sz="6" w:space="0" w:color="auto"/>
              <w:bottom w:val="outset" w:sz="6" w:space="0" w:color="auto"/>
              <w:right w:val="outset" w:sz="6" w:space="0" w:color="auto"/>
            </w:tcBorders>
            <w:vAlign w:val="center"/>
            <w:hideMark/>
          </w:tcPr>
          <w:p w14:paraId="0B793545"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43FD4E2A"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67AC80A4"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5FCFF62F"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48244469"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32615A18"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5BCA1E6A"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3D7EF695"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63ABE91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 xml:space="preserve">Izdevumu apjoms veselības aprūpei pavisam uz vienu iedzīvotāju gadā </w:t>
            </w:r>
            <w:r w:rsidRPr="005E310B">
              <w:rPr>
                <w:rFonts w:eastAsia="Times New Roman" w:cs="Times New Roman"/>
                <w:b/>
                <w:bCs/>
                <w:sz w:val="20"/>
                <w:szCs w:val="20"/>
                <w:lang w:eastAsia="lv-LV"/>
              </w:rPr>
              <w:t>(IzdVes</w:t>
            </w:r>
            <w:r w:rsidRPr="005E310B">
              <w:rPr>
                <w:rFonts w:eastAsia="Times New Roman" w:cs="Times New Roman"/>
                <w:sz w:val="20"/>
                <w:szCs w:val="20"/>
                <w:lang w:eastAsia="lv-LV"/>
              </w:rPr>
              <w:t>/</w:t>
            </w:r>
            <w:r w:rsidRPr="005E310B">
              <w:rPr>
                <w:rFonts w:eastAsia="Times New Roman" w:cs="Times New Roman"/>
                <w:b/>
                <w:bCs/>
                <w:sz w:val="20"/>
                <w:szCs w:val="20"/>
                <w:lang w:eastAsia="lv-LV"/>
              </w:rPr>
              <w:t>Iedz)</w:t>
            </w:r>
            <w:r w:rsidRPr="005E310B">
              <w:rPr>
                <w:rFonts w:eastAsia="Times New Roman" w:cs="Times New Roman"/>
                <w:sz w:val="20"/>
                <w:szCs w:val="20"/>
                <w:lang w:eastAsia="lv-LV"/>
              </w:rPr>
              <w:t xml:space="preserve">, </w:t>
            </w:r>
            <w:r w:rsidRPr="005E310B">
              <w:rPr>
                <w:rFonts w:eastAsia="Times New Roman" w:cs="Times New Roman"/>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551AF9D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1 169,39</w:t>
            </w:r>
          </w:p>
        </w:tc>
        <w:tc>
          <w:tcPr>
            <w:tcW w:w="850" w:type="dxa"/>
            <w:tcBorders>
              <w:top w:val="outset" w:sz="6" w:space="0" w:color="auto"/>
              <w:left w:val="outset" w:sz="6" w:space="0" w:color="auto"/>
              <w:bottom w:val="outset" w:sz="6" w:space="0" w:color="auto"/>
              <w:right w:val="outset" w:sz="6" w:space="0" w:color="auto"/>
            </w:tcBorders>
            <w:vAlign w:val="center"/>
            <w:hideMark/>
          </w:tcPr>
          <w:p w14:paraId="06EF9410"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300FCCF5"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69368DBF"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6CE8C1CF"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386011D8"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589957D2"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0DCAF0A7" w14:textId="77777777" w:rsidR="005E310B" w:rsidRPr="005E310B" w:rsidRDefault="005E310B" w:rsidP="005E310B">
            <w:pPr>
              <w:ind w:firstLine="0"/>
              <w:jc w:val="left"/>
              <w:rPr>
                <w:rFonts w:eastAsia="Times New Roman" w:cs="Times New Roman"/>
                <w:sz w:val="20"/>
                <w:szCs w:val="20"/>
                <w:lang w:eastAsia="lv-LV"/>
              </w:rPr>
            </w:pPr>
          </w:p>
        </w:tc>
      </w:tr>
      <w:tr w:rsidR="005E310B" w:rsidRPr="005E310B" w14:paraId="716AB975"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4AC689A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 xml:space="preserve">Iedzīvotāju skaits, kuri pēdējā gada laikā veselības apsvērumu dēļ ESF Plus veselības veicināšanas pasākumu ietekmē ir mainījuši uztura un citus dzīvesveida paradumus kumulatīvi </w:t>
            </w:r>
            <w:r w:rsidRPr="005E310B">
              <w:rPr>
                <w:rFonts w:eastAsia="Times New Roman" w:cs="Times New Roman"/>
                <w:b/>
                <w:bCs/>
                <w:sz w:val="20"/>
                <w:szCs w:val="20"/>
                <w:lang w:eastAsia="lv-LV"/>
              </w:rPr>
              <w:t>(ESF+Iedz)</w:t>
            </w:r>
          </w:p>
        </w:tc>
        <w:tc>
          <w:tcPr>
            <w:tcW w:w="851" w:type="dxa"/>
            <w:tcBorders>
              <w:top w:val="outset" w:sz="6" w:space="0" w:color="auto"/>
              <w:left w:val="outset" w:sz="6" w:space="0" w:color="auto"/>
              <w:bottom w:val="outset" w:sz="6" w:space="0" w:color="auto"/>
              <w:right w:val="outset" w:sz="6" w:space="0" w:color="auto"/>
            </w:tcBorders>
            <w:vAlign w:val="center"/>
            <w:hideMark/>
          </w:tcPr>
          <w:p w14:paraId="3D9B5EC6"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C8FB7FC"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0092012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3270</w:t>
            </w:r>
          </w:p>
        </w:tc>
        <w:tc>
          <w:tcPr>
            <w:tcW w:w="850" w:type="dxa"/>
            <w:tcBorders>
              <w:top w:val="outset" w:sz="6" w:space="0" w:color="auto"/>
              <w:left w:val="outset" w:sz="6" w:space="0" w:color="auto"/>
              <w:bottom w:val="outset" w:sz="6" w:space="0" w:color="auto"/>
              <w:right w:val="outset" w:sz="6" w:space="0" w:color="auto"/>
            </w:tcBorders>
            <w:vAlign w:val="center"/>
            <w:hideMark/>
          </w:tcPr>
          <w:p w14:paraId="7C4347B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9 914</w:t>
            </w:r>
          </w:p>
        </w:tc>
        <w:tc>
          <w:tcPr>
            <w:tcW w:w="851" w:type="dxa"/>
            <w:tcBorders>
              <w:top w:val="outset" w:sz="6" w:space="0" w:color="auto"/>
              <w:left w:val="outset" w:sz="6" w:space="0" w:color="auto"/>
              <w:bottom w:val="outset" w:sz="6" w:space="0" w:color="auto"/>
              <w:right w:val="outset" w:sz="6" w:space="0" w:color="auto"/>
            </w:tcBorders>
            <w:vAlign w:val="center"/>
            <w:hideMark/>
          </w:tcPr>
          <w:p w14:paraId="3C238F8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20 632</w:t>
            </w:r>
          </w:p>
        </w:tc>
        <w:tc>
          <w:tcPr>
            <w:tcW w:w="850" w:type="dxa"/>
            <w:tcBorders>
              <w:top w:val="outset" w:sz="6" w:space="0" w:color="auto"/>
              <w:left w:val="outset" w:sz="6" w:space="0" w:color="auto"/>
              <w:bottom w:val="outset" w:sz="6" w:space="0" w:color="auto"/>
              <w:right w:val="outset" w:sz="6" w:space="0" w:color="auto"/>
            </w:tcBorders>
            <w:vAlign w:val="center"/>
            <w:hideMark/>
          </w:tcPr>
          <w:p w14:paraId="3B44FA4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31 510</w:t>
            </w:r>
          </w:p>
        </w:tc>
        <w:tc>
          <w:tcPr>
            <w:tcW w:w="851" w:type="dxa"/>
            <w:tcBorders>
              <w:top w:val="outset" w:sz="6" w:space="0" w:color="auto"/>
              <w:left w:val="outset" w:sz="6" w:space="0" w:color="auto"/>
              <w:bottom w:val="outset" w:sz="6" w:space="0" w:color="auto"/>
              <w:right w:val="outset" w:sz="6" w:space="0" w:color="auto"/>
            </w:tcBorders>
            <w:vAlign w:val="center"/>
            <w:hideMark/>
          </w:tcPr>
          <w:p w14:paraId="6042CC1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40 465</w:t>
            </w:r>
          </w:p>
        </w:tc>
        <w:tc>
          <w:tcPr>
            <w:tcW w:w="979" w:type="dxa"/>
            <w:tcBorders>
              <w:top w:val="outset" w:sz="6" w:space="0" w:color="auto"/>
              <w:left w:val="outset" w:sz="6" w:space="0" w:color="auto"/>
              <w:bottom w:val="outset" w:sz="6" w:space="0" w:color="auto"/>
              <w:right w:val="outset" w:sz="6" w:space="0" w:color="auto"/>
            </w:tcBorders>
            <w:vAlign w:val="center"/>
            <w:hideMark/>
          </w:tcPr>
          <w:p w14:paraId="7D9C54B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50 000</w:t>
            </w:r>
          </w:p>
        </w:tc>
      </w:tr>
      <w:tr w:rsidR="005E310B" w:rsidRPr="005E310B" w14:paraId="6A1F60D5"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2659BAB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       no tiem, kas novērsa iepriekšējās veselības           problēmas un atgriezās darba tirgū (</w:t>
            </w:r>
            <w:r w:rsidRPr="005E310B">
              <w:rPr>
                <w:rFonts w:eastAsia="Times New Roman" w:cs="Times New Roman"/>
                <w:b/>
                <w:bCs/>
                <w:sz w:val="20"/>
                <w:szCs w:val="20"/>
                <w:lang w:eastAsia="lv-LV"/>
              </w:rPr>
              <w:t>PapDarbasp</w:t>
            </w:r>
            <w:r w:rsidRPr="005E310B">
              <w:rPr>
                <w:rFonts w:eastAsia="Times New Roman" w:cs="Times New Roman"/>
                <w:sz w:val="20"/>
                <w:szCs w:val="20"/>
                <w:lang w:eastAsia="lv-LV"/>
              </w:rPr>
              <w:t xml:space="preserve"> = </w:t>
            </w:r>
            <w:r w:rsidRPr="005E310B">
              <w:rPr>
                <w:rFonts w:eastAsia="Times New Roman" w:cs="Times New Roman"/>
                <w:b/>
                <w:bCs/>
                <w:sz w:val="20"/>
                <w:szCs w:val="20"/>
                <w:lang w:eastAsia="lv-LV"/>
              </w:rPr>
              <w:t>ESF+Iedz</w:t>
            </w:r>
            <w:r w:rsidRPr="005E310B">
              <w:rPr>
                <w:rFonts w:eastAsia="Times New Roman" w:cs="Times New Roman"/>
                <w:sz w:val="20"/>
                <w:szCs w:val="20"/>
                <w:lang w:eastAsia="lv-LV"/>
              </w:rPr>
              <w:t xml:space="preserve"> x 28,9%)</w:t>
            </w:r>
          </w:p>
        </w:tc>
        <w:tc>
          <w:tcPr>
            <w:tcW w:w="851" w:type="dxa"/>
            <w:tcBorders>
              <w:top w:val="outset" w:sz="6" w:space="0" w:color="auto"/>
              <w:left w:val="outset" w:sz="6" w:space="0" w:color="auto"/>
              <w:bottom w:val="outset" w:sz="6" w:space="0" w:color="auto"/>
              <w:right w:val="outset" w:sz="6" w:space="0" w:color="auto"/>
            </w:tcBorders>
            <w:vAlign w:val="center"/>
            <w:hideMark/>
          </w:tcPr>
          <w:p w14:paraId="5B5C9FAC"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B66753C"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74AC39E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945</w:t>
            </w:r>
          </w:p>
        </w:tc>
        <w:tc>
          <w:tcPr>
            <w:tcW w:w="850" w:type="dxa"/>
            <w:tcBorders>
              <w:top w:val="outset" w:sz="6" w:space="0" w:color="auto"/>
              <w:left w:val="outset" w:sz="6" w:space="0" w:color="auto"/>
              <w:bottom w:val="outset" w:sz="6" w:space="0" w:color="auto"/>
              <w:right w:val="outset" w:sz="6" w:space="0" w:color="auto"/>
            </w:tcBorders>
            <w:vAlign w:val="center"/>
            <w:hideMark/>
          </w:tcPr>
          <w:p w14:paraId="0E36ABE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2 865</w:t>
            </w:r>
          </w:p>
        </w:tc>
        <w:tc>
          <w:tcPr>
            <w:tcW w:w="851" w:type="dxa"/>
            <w:tcBorders>
              <w:top w:val="outset" w:sz="6" w:space="0" w:color="auto"/>
              <w:left w:val="outset" w:sz="6" w:space="0" w:color="auto"/>
              <w:bottom w:val="outset" w:sz="6" w:space="0" w:color="auto"/>
              <w:right w:val="outset" w:sz="6" w:space="0" w:color="auto"/>
            </w:tcBorders>
            <w:vAlign w:val="center"/>
            <w:hideMark/>
          </w:tcPr>
          <w:p w14:paraId="626DE4A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5 963</w:t>
            </w:r>
          </w:p>
        </w:tc>
        <w:tc>
          <w:tcPr>
            <w:tcW w:w="850" w:type="dxa"/>
            <w:tcBorders>
              <w:top w:val="outset" w:sz="6" w:space="0" w:color="auto"/>
              <w:left w:val="outset" w:sz="6" w:space="0" w:color="auto"/>
              <w:bottom w:val="outset" w:sz="6" w:space="0" w:color="auto"/>
              <w:right w:val="outset" w:sz="6" w:space="0" w:color="auto"/>
            </w:tcBorders>
            <w:vAlign w:val="center"/>
            <w:hideMark/>
          </w:tcPr>
          <w:p w14:paraId="2CEADBA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9 106</w:t>
            </w:r>
          </w:p>
        </w:tc>
        <w:tc>
          <w:tcPr>
            <w:tcW w:w="851" w:type="dxa"/>
            <w:tcBorders>
              <w:top w:val="outset" w:sz="6" w:space="0" w:color="auto"/>
              <w:left w:val="outset" w:sz="6" w:space="0" w:color="auto"/>
              <w:bottom w:val="outset" w:sz="6" w:space="0" w:color="auto"/>
              <w:right w:val="outset" w:sz="6" w:space="0" w:color="auto"/>
            </w:tcBorders>
            <w:vAlign w:val="center"/>
            <w:hideMark/>
          </w:tcPr>
          <w:p w14:paraId="48F9537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11 694</w:t>
            </w:r>
          </w:p>
        </w:tc>
        <w:tc>
          <w:tcPr>
            <w:tcW w:w="979" w:type="dxa"/>
            <w:tcBorders>
              <w:top w:val="outset" w:sz="6" w:space="0" w:color="auto"/>
              <w:left w:val="outset" w:sz="6" w:space="0" w:color="auto"/>
              <w:bottom w:val="outset" w:sz="6" w:space="0" w:color="auto"/>
              <w:right w:val="outset" w:sz="6" w:space="0" w:color="auto"/>
            </w:tcBorders>
            <w:vAlign w:val="center"/>
            <w:hideMark/>
          </w:tcPr>
          <w:p w14:paraId="2004904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14 450</w:t>
            </w:r>
          </w:p>
        </w:tc>
      </w:tr>
      <w:tr w:rsidR="005E310B" w:rsidRPr="005E310B" w14:paraId="22D29384"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50D2CD4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lastRenderedPageBreak/>
              <w:t>Novērstie zaudējumi par slimības pabalstiem (</w:t>
            </w:r>
            <w:r w:rsidRPr="005E310B">
              <w:rPr>
                <w:rFonts w:eastAsia="Times New Roman" w:cs="Times New Roman"/>
                <w:b/>
                <w:bCs/>
                <w:sz w:val="20"/>
                <w:szCs w:val="20"/>
                <w:lang w:eastAsia="lv-LV"/>
              </w:rPr>
              <w:t>SPab</w:t>
            </w:r>
            <w:r w:rsidRPr="005E310B">
              <w:rPr>
                <w:rFonts w:eastAsia="Times New Roman" w:cs="Times New Roman"/>
                <w:sz w:val="20"/>
                <w:szCs w:val="20"/>
                <w:lang w:eastAsia="lv-LV"/>
              </w:rPr>
              <w:t>/</w:t>
            </w:r>
            <w:r w:rsidRPr="005E310B">
              <w:rPr>
                <w:rFonts w:eastAsia="Times New Roman" w:cs="Times New Roman"/>
                <w:b/>
                <w:bCs/>
                <w:sz w:val="20"/>
                <w:szCs w:val="20"/>
                <w:lang w:eastAsia="lv-LV"/>
              </w:rPr>
              <w:t>Iedz</w:t>
            </w:r>
            <w:r w:rsidRPr="005E310B">
              <w:rPr>
                <w:rFonts w:eastAsia="Times New Roman" w:cs="Times New Roman"/>
                <w:sz w:val="20"/>
                <w:szCs w:val="20"/>
                <w:lang w:eastAsia="lv-LV"/>
              </w:rPr>
              <w:t xml:space="preserve"> x </w:t>
            </w:r>
            <w:r w:rsidRPr="005E310B">
              <w:rPr>
                <w:rFonts w:eastAsia="Times New Roman" w:cs="Times New Roman"/>
                <w:b/>
                <w:bCs/>
                <w:sz w:val="20"/>
                <w:szCs w:val="20"/>
                <w:lang w:eastAsia="lv-LV"/>
              </w:rPr>
              <w:t>PapDarbasp</w:t>
            </w:r>
            <w:r w:rsidRPr="005E310B">
              <w:rPr>
                <w:rFonts w:eastAsia="Times New Roman" w:cs="Times New Roman"/>
                <w:sz w:val="20"/>
                <w:szCs w:val="20"/>
                <w:lang w:eastAsia="lv-LV"/>
              </w:rPr>
              <w:t>),</w:t>
            </w:r>
            <w:r w:rsidRPr="005E310B">
              <w:rPr>
                <w:rFonts w:eastAsia="Times New Roman" w:cs="Times New Roman"/>
                <w:i/>
                <w:iCs/>
                <w:sz w:val="20"/>
                <w:szCs w:val="20"/>
                <w:lang w:eastAsia="lv-LV"/>
              </w:rPr>
              <w:t xml:space="preserve"> 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421B01D4"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2121E959"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2D01D2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180 646</w:t>
            </w:r>
          </w:p>
        </w:tc>
        <w:tc>
          <w:tcPr>
            <w:tcW w:w="850" w:type="dxa"/>
            <w:tcBorders>
              <w:top w:val="outset" w:sz="6" w:space="0" w:color="auto"/>
              <w:left w:val="outset" w:sz="6" w:space="0" w:color="auto"/>
              <w:bottom w:val="outset" w:sz="6" w:space="0" w:color="auto"/>
              <w:right w:val="outset" w:sz="6" w:space="0" w:color="auto"/>
            </w:tcBorders>
            <w:vAlign w:val="center"/>
            <w:hideMark/>
          </w:tcPr>
          <w:p w14:paraId="39E8CFD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547 673</w:t>
            </w:r>
          </w:p>
        </w:tc>
        <w:tc>
          <w:tcPr>
            <w:tcW w:w="851" w:type="dxa"/>
            <w:tcBorders>
              <w:top w:val="outset" w:sz="6" w:space="0" w:color="auto"/>
              <w:left w:val="outset" w:sz="6" w:space="0" w:color="auto"/>
              <w:bottom w:val="outset" w:sz="6" w:space="0" w:color="auto"/>
              <w:right w:val="outset" w:sz="6" w:space="0" w:color="auto"/>
            </w:tcBorders>
            <w:vAlign w:val="center"/>
            <w:hideMark/>
          </w:tcPr>
          <w:p w14:paraId="3379DCC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1 139 887</w:t>
            </w:r>
          </w:p>
        </w:tc>
        <w:tc>
          <w:tcPr>
            <w:tcW w:w="850" w:type="dxa"/>
            <w:tcBorders>
              <w:top w:val="outset" w:sz="6" w:space="0" w:color="auto"/>
              <w:left w:val="outset" w:sz="6" w:space="0" w:color="auto"/>
              <w:bottom w:val="outset" w:sz="6" w:space="0" w:color="auto"/>
              <w:right w:val="outset" w:sz="6" w:space="0" w:color="auto"/>
            </w:tcBorders>
            <w:vAlign w:val="center"/>
            <w:hideMark/>
          </w:tcPr>
          <w:p w14:paraId="65183D5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1 740 703</w:t>
            </w:r>
          </w:p>
        </w:tc>
        <w:tc>
          <w:tcPr>
            <w:tcW w:w="851" w:type="dxa"/>
            <w:tcBorders>
              <w:top w:val="outset" w:sz="6" w:space="0" w:color="auto"/>
              <w:left w:val="outset" w:sz="6" w:space="0" w:color="auto"/>
              <w:bottom w:val="outset" w:sz="6" w:space="0" w:color="auto"/>
              <w:right w:val="outset" w:sz="6" w:space="0" w:color="auto"/>
            </w:tcBorders>
            <w:vAlign w:val="center"/>
            <w:hideMark/>
          </w:tcPr>
          <w:p w14:paraId="6DF664DB"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2 235 425</w:t>
            </w:r>
          </w:p>
        </w:tc>
        <w:tc>
          <w:tcPr>
            <w:tcW w:w="979" w:type="dxa"/>
            <w:tcBorders>
              <w:top w:val="outset" w:sz="6" w:space="0" w:color="auto"/>
              <w:left w:val="outset" w:sz="6" w:space="0" w:color="auto"/>
              <w:bottom w:val="outset" w:sz="6" w:space="0" w:color="auto"/>
              <w:right w:val="outset" w:sz="6" w:space="0" w:color="auto"/>
            </w:tcBorders>
            <w:vAlign w:val="center"/>
            <w:hideMark/>
          </w:tcPr>
          <w:p w14:paraId="20882A7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2 762 262</w:t>
            </w:r>
          </w:p>
        </w:tc>
      </w:tr>
      <w:tr w:rsidR="000F7B05" w:rsidRPr="005E310B" w14:paraId="5503F7D5"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0371F8D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 xml:space="preserve">Novērsto zaudējumu apjoms kopā no 2024.gada līdz 2029.gadam, </w:t>
            </w:r>
            <w:r w:rsidRPr="005E310B">
              <w:rPr>
                <w:rFonts w:eastAsia="Times New Roman" w:cs="Times New Roman"/>
                <w:b/>
                <w:bCs/>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4663E0F7"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0BA388E" w14:textId="77777777" w:rsidR="005E310B" w:rsidRPr="005E310B" w:rsidRDefault="005E310B" w:rsidP="005E310B">
            <w:pPr>
              <w:ind w:firstLine="0"/>
              <w:jc w:val="left"/>
              <w:rPr>
                <w:rFonts w:eastAsia="Times New Roman" w:cs="Times New Roman"/>
                <w:sz w:val="20"/>
                <w:szCs w:val="20"/>
                <w:lang w:eastAsia="lv-LV"/>
              </w:rPr>
            </w:pPr>
          </w:p>
        </w:tc>
        <w:tc>
          <w:tcPr>
            <w:tcW w:w="5232" w:type="dxa"/>
            <w:gridSpan w:val="6"/>
            <w:tcBorders>
              <w:top w:val="outset" w:sz="6" w:space="0" w:color="auto"/>
              <w:left w:val="outset" w:sz="6" w:space="0" w:color="auto"/>
              <w:bottom w:val="outset" w:sz="6" w:space="0" w:color="auto"/>
              <w:right w:val="outset" w:sz="6" w:space="0" w:color="auto"/>
            </w:tcBorders>
            <w:vAlign w:val="center"/>
            <w:hideMark/>
          </w:tcPr>
          <w:p w14:paraId="03184461"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b/>
                <w:bCs/>
                <w:sz w:val="20"/>
                <w:szCs w:val="20"/>
                <w:lang w:eastAsia="lv-LV"/>
              </w:rPr>
              <w:t>8 606 596</w:t>
            </w:r>
          </w:p>
        </w:tc>
      </w:tr>
      <w:tr w:rsidR="005E310B" w:rsidRPr="005E310B" w14:paraId="5786BC6B"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14478D5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Veselības aprūpes izmaksu samazinājums gadā (</w:t>
            </w:r>
            <w:r w:rsidRPr="005E310B">
              <w:rPr>
                <w:rFonts w:eastAsia="Times New Roman" w:cs="Times New Roman"/>
                <w:b/>
                <w:bCs/>
                <w:sz w:val="20"/>
                <w:szCs w:val="20"/>
                <w:lang w:eastAsia="lv-LV"/>
              </w:rPr>
              <w:t>IzdVes</w:t>
            </w:r>
            <w:r w:rsidRPr="005E310B">
              <w:rPr>
                <w:rFonts w:eastAsia="Times New Roman" w:cs="Times New Roman"/>
                <w:sz w:val="20"/>
                <w:szCs w:val="20"/>
                <w:lang w:eastAsia="lv-LV"/>
              </w:rPr>
              <w:t>/</w:t>
            </w:r>
            <w:r w:rsidRPr="005E310B">
              <w:rPr>
                <w:rFonts w:eastAsia="Times New Roman" w:cs="Times New Roman"/>
                <w:b/>
                <w:bCs/>
                <w:sz w:val="20"/>
                <w:szCs w:val="20"/>
                <w:lang w:eastAsia="lv-LV"/>
              </w:rPr>
              <w:t>Iedz</w:t>
            </w:r>
            <w:r w:rsidRPr="005E310B">
              <w:rPr>
                <w:rFonts w:eastAsia="Times New Roman" w:cs="Times New Roman"/>
                <w:sz w:val="20"/>
                <w:szCs w:val="20"/>
                <w:lang w:eastAsia="lv-LV"/>
              </w:rPr>
              <w:t> x</w:t>
            </w:r>
            <w:r w:rsidRPr="005E310B">
              <w:rPr>
                <w:rFonts w:eastAsia="Times New Roman" w:cs="Times New Roman"/>
                <w:b/>
                <w:bCs/>
                <w:sz w:val="20"/>
                <w:szCs w:val="20"/>
                <w:lang w:eastAsia="lv-LV"/>
              </w:rPr>
              <w:t> PapDarbasp</w:t>
            </w:r>
            <w:r w:rsidRPr="005E310B">
              <w:rPr>
                <w:rFonts w:eastAsia="Times New Roman" w:cs="Times New Roman"/>
                <w:sz w:val="20"/>
                <w:szCs w:val="20"/>
                <w:lang w:eastAsia="lv-LV"/>
              </w:rPr>
              <w:t xml:space="preserve">), </w:t>
            </w:r>
            <w:r w:rsidRPr="005E310B">
              <w:rPr>
                <w:rFonts w:eastAsia="Times New Roman" w:cs="Times New Roman"/>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1807185B"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633E204A"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6169B0C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1 105 074</w:t>
            </w:r>
          </w:p>
        </w:tc>
        <w:tc>
          <w:tcPr>
            <w:tcW w:w="850" w:type="dxa"/>
            <w:tcBorders>
              <w:top w:val="outset" w:sz="6" w:space="0" w:color="auto"/>
              <w:left w:val="outset" w:sz="6" w:space="0" w:color="auto"/>
              <w:bottom w:val="outset" w:sz="6" w:space="0" w:color="auto"/>
              <w:right w:val="outset" w:sz="6" w:space="0" w:color="auto"/>
            </w:tcBorders>
            <w:vAlign w:val="center"/>
            <w:hideMark/>
          </w:tcPr>
          <w:p w14:paraId="2EB0238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3 350 302</w:t>
            </w:r>
          </w:p>
        </w:tc>
        <w:tc>
          <w:tcPr>
            <w:tcW w:w="851" w:type="dxa"/>
            <w:tcBorders>
              <w:top w:val="outset" w:sz="6" w:space="0" w:color="auto"/>
              <w:left w:val="outset" w:sz="6" w:space="0" w:color="auto"/>
              <w:bottom w:val="outset" w:sz="6" w:space="0" w:color="auto"/>
              <w:right w:val="outset" w:sz="6" w:space="0" w:color="auto"/>
            </w:tcBorders>
            <w:vAlign w:val="center"/>
            <w:hideMark/>
          </w:tcPr>
          <w:p w14:paraId="364FCC5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6 973 073</w:t>
            </w:r>
          </w:p>
        </w:tc>
        <w:tc>
          <w:tcPr>
            <w:tcW w:w="850" w:type="dxa"/>
            <w:tcBorders>
              <w:top w:val="outset" w:sz="6" w:space="0" w:color="auto"/>
              <w:left w:val="outset" w:sz="6" w:space="0" w:color="auto"/>
              <w:bottom w:val="outset" w:sz="6" w:space="0" w:color="auto"/>
              <w:right w:val="outset" w:sz="6" w:space="0" w:color="auto"/>
            </w:tcBorders>
            <w:vAlign w:val="center"/>
            <w:hideMark/>
          </w:tcPr>
          <w:p w14:paraId="2E5EAE0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10 648 465</w:t>
            </w:r>
          </w:p>
        </w:tc>
        <w:tc>
          <w:tcPr>
            <w:tcW w:w="851" w:type="dxa"/>
            <w:tcBorders>
              <w:top w:val="outset" w:sz="6" w:space="0" w:color="auto"/>
              <w:left w:val="outset" w:sz="6" w:space="0" w:color="auto"/>
              <w:bottom w:val="outset" w:sz="6" w:space="0" w:color="auto"/>
              <w:right w:val="outset" w:sz="6" w:space="0" w:color="auto"/>
            </w:tcBorders>
            <w:vAlign w:val="center"/>
            <w:hideMark/>
          </w:tcPr>
          <w:p w14:paraId="0145F6AB"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13 674 847</w:t>
            </w:r>
          </w:p>
        </w:tc>
        <w:tc>
          <w:tcPr>
            <w:tcW w:w="979" w:type="dxa"/>
            <w:tcBorders>
              <w:top w:val="outset" w:sz="6" w:space="0" w:color="auto"/>
              <w:left w:val="outset" w:sz="6" w:space="0" w:color="auto"/>
              <w:bottom w:val="outset" w:sz="6" w:space="0" w:color="auto"/>
              <w:right w:val="outset" w:sz="6" w:space="0" w:color="auto"/>
            </w:tcBorders>
            <w:vAlign w:val="center"/>
            <w:hideMark/>
          </w:tcPr>
          <w:p w14:paraId="7414A83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16 897 686</w:t>
            </w:r>
          </w:p>
        </w:tc>
      </w:tr>
      <w:tr w:rsidR="000F7B05" w:rsidRPr="005E310B" w14:paraId="6CE24312"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66F74A4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 xml:space="preserve">Veselības aprūpes izmaksu samazinājums no 2024.gada līdz 2029.gadam, </w:t>
            </w:r>
            <w:r w:rsidRPr="005E310B">
              <w:rPr>
                <w:rFonts w:eastAsia="Times New Roman" w:cs="Times New Roman"/>
                <w:b/>
                <w:bCs/>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37E99E33"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1866CF8A" w14:textId="77777777" w:rsidR="005E310B" w:rsidRPr="005E310B" w:rsidRDefault="005E310B" w:rsidP="005E310B">
            <w:pPr>
              <w:ind w:firstLine="0"/>
              <w:jc w:val="left"/>
              <w:rPr>
                <w:rFonts w:eastAsia="Times New Roman" w:cs="Times New Roman"/>
                <w:sz w:val="20"/>
                <w:szCs w:val="20"/>
                <w:lang w:eastAsia="lv-LV"/>
              </w:rPr>
            </w:pPr>
          </w:p>
        </w:tc>
        <w:tc>
          <w:tcPr>
            <w:tcW w:w="5232" w:type="dxa"/>
            <w:gridSpan w:val="6"/>
            <w:tcBorders>
              <w:top w:val="outset" w:sz="6" w:space="0" w:color="auto"/>
              <w:left w:val="outset" w:sz="6" w:space="0" w:color="auto"/>
              <w:bottom w:val="outset" w:sz="6" w:space="0" w:color="auto"/>
              <w:right w:val="outset" w:sz="6" w:space="0" w:color="auto"/>
            </w:tcBorders>
            <w:vAlign w:val="center"/>
            <w:hideMark/>
          </w:tcPr>
          <w:p w14:paraId="3B349FC6"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b/>
                <w:bCs/>
                <w:sz w:val="20"/>
                <w:szCs w:val="20"/>
                <w:lang w:eastAsia="lv-LV"/>
              </w:rPr>
              <w:t>52 649 447</w:t>
            </w:r>
          </w:p>
        </w:tc>
      </w:tr>
      <w:tr w:rsidR="005E310B" w:rsidRPr="005E310B" w14:paraId="1CA62E91"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3F34091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Ieguvumi no papildus darbaspēka un produktivitātes pieauguma (papildus iemaksātie nodokļi budžetā) gadā par papildus 6 veselīgi nodzīvotajiem mēnešiem gadā (</w:t>
            </w:r>
            <w:r w:rsidRPr="005E310B">
              <w:rPr>
                <w:rFonts w:eastAsia="Times New Roman" w:cs="Times New Roman"/>
                <w:b/>
                <w:bCs/>
                <w:sz w:val="20"/>
                <w:szCs w:val="20"/>
                <w:lang w:eastAsia="lv-LV"/>
              </w:rPr>
              <w:t>Nod</w:t>
            </w:r>
            <w:r w:rsidRPr="005E310B">
              <w:rPr>
                <w:rFonts w:eastAsia="Times New Roman" w:cs="Times New Roman"/>
                <w:sz w:val="20"/>
                <w:szCs w:val="20"/>
                <w:lang w:eastAsia="lv-LV"/>
              </w:rPr>
              <w:t xml:space="preserve"> x </w:t>
            </w:r>
            <w:r w:rsidRPr="005E310B">
              <w:rPr>
                <w:rFonts w:eastAsia="Times New Roman" w:cs="Times New Roman"/>
                <w:b/>
                <w:bCs/>
                <w:sz w:val="20"/>
                <w:szCs w:val="20"/>
                <w:lang w:eastAsia="lv-LV"/>
              </w:rPr>
              <w:t>PapDarbasp</w:t>
            </w:r>
            <w:r w:rsidRPr="005E310B">
              <w:rPr>
                <w:rFonts w:eastAsia="Times New Roman" w:cs="Times New Roman"/>
                <w:sz w:val="20"/>
                <w:szCs w:val="20"/>
                <w:lang w:eastAsia="lv-LV"/>
              </w:rPr>
              <w:t xml:space="preserve"> x 6 mēneši), </w:t>
            </w:r>
            <w:r w:rsidRPr="005E310B">
              <w:rPr>
                <w:rFonts w:eastAsia="Times New Roman" w:cs="Times New Roman"/>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4A4CB102"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7B2F7FC7" w14:textId="77777777" w:rsidR="005E310B" w:rsidRPr="005E310B" w:rsidRDefault="005E310B" w:rsidP="005E310B">
            <w:pPr>
              <w:ind w:firstLine="0"/>
              <w:jc w:val="left"/>
              <w:rPr>
                <w:rFonts w:eastAsia="Times New Roman" w:cs="Times New Roman"/>
                <w:sz w:val="20"/>
                <w:szCs w:val="20"/>
                <w:lang w:eastAsia="lv-LV"/>
              </w:rPr>
            </w:pPr>
          </w:p>
        </w:tc>
        <w:tc>
          <w:tcPr>
            <w:tcW w:w="851" w:type="dxa"/>
            <w:tcBorders>
              <w:top w:val="outset" w:sz="6" w:space="0" w:color="auto"/>
              <w:left w:val="outset" w:sz="6" w:space="0" w:color="auto"/>
              <w:bottom w:val="outset" w:sz="6" w:space="0" w:color="auto"/>
              <w:right w:val="outset" w:sz="6" w:space="0" w:color="auto"/>
            </w:tcBorders>
            <w:vAlign w:val="center"/>
            <w:hideMark/>
          </w:tcPr>
          <w:p w14:paraId="6845DE4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4 518 990</w:t>
            </w:r>
          </w:p>
        </w:tc>
        <w:tc>
          <w:tcPr>
            <w:tcW w:w="850" w:type="dxa"/>
            <w:tcBorders>
              <w:top w:val="outset" w:sz="6" w:space="0" w:color="auto"/>
              <w:left w:val="outset" w:sz="6" w:space="0" w:color="auto"/>
              <w:bottom w:val="outset" w:sz="6" w:space="0" w:color="auto"/>
              <w:right w:val="outset" w:sz="6" w:space="0" w:color="auto"/>
            </w:tcBorders>
            <w:vAlign w:val="center"/>
            <w:hideMark/>
          </w:tcPr>
          <w:p w14:paraId="5B6CC2F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13 700 430</w:t>
            </w:r>
          </w:p>
        </w:tc>
        <w:tc>
          <w:tcPr>
            <w:tcW w:w="851" w:type="dxa"/>
            <w:tcBorders>
              <w:top w:val="outset" w:sz="6" w:space="0" w:color="auto"/>
              <w:left w:val="outset" w:sz="6" w:space="0" w:color="auto"/>
              <w:bottom w:val="outset" w:sz="6" w:space="0" w:color="auto"/>
              <w:right w:val="outset" w:sz="6" w:space="0" w:color="auto"/>
            </w:tcBorders>
            <w:vAlign w:val="center"/>
            <w:hideMark/>
          </w:tcPr>
          <w:p w14:paraId="7680B65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28 515 066</w:t>
            </w:r>
          </w:p>
        </w:tc>
        <w:tc>
          <w:tcPr>
            <w:tcW w:w="850" w:type="dxa"/>
            <w:tcBorders>
              <w:top w:val="outset" w:sz="6" w:space="0" w:color="auto"/>
              <w:left w:val="outset" w:sz="6" w:space="0" w:color="auto"/>
              <w:bottom w:val="outset" w:sz="6" w:space="0" w:color="auto"/>
              <w:right w:val="outset" w:sz="6" w:space="0" w:color="auto"/>
            </w:tcBorders>
            <w:vAlign w:val="center"/>
            <w:hideMark/>
          </w:tcPr>
          <w:p w14:paraId="42E08A1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43 544 892</w:t>
            </w:r>
          </w:p>
        </w:tc>
        <w:tc>
          <w:tcPr>
            <w:tcW w:w="851" w:type="dxa"/>
            <w:tcBorders>
              <w:top w:val="outset" w:sz="6" w:space="0" w:color="auto"/>
              <w:left w:val="outset" w:sz="6" w:space="0" w:color="auto"/>
              <w:bottom w:val="outset" w:sz="6" w:space="0" w:color="auto"/>
              <w:right w:val="outset" w:sz="6" w:space="0" w:color="auto"/>
            </w:tcBorders>
            <w:vAlign w:val="center"/>
            <w:hideMark/>
          </w:tcPr>
          <w:p w14:paraId="3B1F5845" w14:textId="77777777" w:rsidR="005E310B" w:rsidRPr="005E310B" w:rsidRDefault="005E310B" w:rsidP="005E310B">
            <w:pPr>
              <w:ind w:firstLine="0"/>
              <w:jc w:val="left"/>
              <w:rPr>
                <w:rFonts w:eastAsia="Times New Roman" w:cs="Times New Roman"/>
                <w:sz w:val="20"/>
                <w:szCs w:val="20"/>
                <w:lang w:eastAsia="lv-LV"/>
              </w:rPr>
            </w:pPr>
          </w:p>
        </w:tc>
        <w:tc>
          <w:tcPr>
            <w:tcW w:w="979" w:type="dxa"/>
            <w:tcBorders>
              <w:top w:val="outset" w:sz="6" w:space="0" w:color="auto"/>
              <w:left w:val="outset" w:sz="6" w:space="0" w:color="auto"/>
              <w:bottom w:val="outset" w:sz="6" w:space="0" w:color="auto"/>
              <w:right w:val="outset" w:sz="6" w:space="0" w:color="auto"/>
            </w:tcBorders>
            <w:vAlign w:val="center"/>
            <w:hideMark/>
          </w:tcPr>
          <w:p w14:paraId="3C8A31D3" w14:textId="77777777" w:rsidR="005E310B" w:rsidRPr="005E310B" w:rsidRDefault="005E310B" w:rsidP="005E310B">
            <w:pPr>
              <w:ind w:firstLine="0"/>
              <w:jc w:val="left"/>
              <w:rPr>
                <w:rFonts w:eastAsia="Times New Roman" w:cs="Times New Roman"/>
                <w:sz w:val="20"/>
                <w:szCs w:val="20"/>
                <w:lang w:eastAsia="lv-LV"/>
              </w:rPr>
            </w:pPr>
          </w:p>
        </w:tc>
      </w:tr>
      <w:tr w:rsidR="000F7B05" w:rsidRPr="005E310B" w14:paraId="2DBAD949" w14:textId="77777777" w:rsidTr="000F7B05">
        <w:trPr>
          <w:tblCellSpacing w:w="0" w:type="dxa"/>
        </w:trPr>
        <w:tc>
          <w:tcPr>
            <w:tcW w:w="2402" w:type="dxa"/>
            <w:tcBorders>
              <w:top w:val="outset" w:sz="6" w:space="0" w:color="auto"/>
              <w:left w:val="outset" w:sz="6" w:space="0" w:color="auto"/>
              <w:bottom w:val="outset" w:sz="6" w:space="0" w:color="auto"/>
              <w:right w:val="outset" w:sz="6" w:space="0" w:color="auto"/>
            </w:tcBorders>
            <w:vAlign w:val="center"/>
            <w:hideMark/>
          </w:tcPr>
          <w:p w14:paraId="2E552C0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 xml:space="preserve">Ieguvumu no produktivitātes pieauguma apjoms kopā no 2024.gada līdz 2027.gadam, </w:t>
            </w:r>
            <w:r w:rsidRPr="005E310B">
              <w:rPr>
                <w:rFonts w:eastAsia="Times New Roman" w:cs="Times New Roman"/>
                <w:b/>
                <w:bCs/>
                <w:i/>
                <w:iCs/>
                <w:sz w:val="20"/>
                <w:szCs w:val="20"/>
                <w:lang w:eastAsia="lv-LV"/>
              </w:rPr>
              <w:t>euro</w:t>
            </w:r>
          </w:p>
        </w:tc>
        <w:tc>
          <w:tcPr>
            <w:tcW w:w="851" w:type="dxa"/>
            <w:tcBorders>
              <w:top w:val="outset" w:sz="6" w:space="0" w:color="auto"/>
              <w:left w:val="outset" w:sz="6" w:space="0" w:color="auto"/>
              <w:bottom w:val="outset" w:sz="6" w:space="0" w:color="auto"/>
              <w:right w:val="outset" w:sz="6" w:space="0" w:color="auto"/>
            </w:tcBorders>
            <w:vAlign w:val="center"/>
            <w:hideMark/>
          </w:tcPr>
          <w:p w14:paraId="14869043" w14:textId="77777777" w:rsidR="005E310B" w:rsidRPr="005E310B" w:rsidRDefault="005E310B" w:rsidP="005E310B">
            <w:pPr>
              <w:ind w:firstLine="0"/>
              <w:jc w:val="left"/>
              <w:rPr>
                <w:rFonts w:eastAsia="Times New Roman" w:cs="Times New Roman"/>
                <w:sz w:val="20"/>
                <w:szCs w:val="20"/>
                <w:lang w:eastAsia="lv-LV"/>
              </w:rPr>
            </w:pPr>
          </w:p>
        </w:tc>
        <w:tc>
          <w:tcPr>
            <w:tcW w:w="850" w:type="dxa"/>
            <w:tcBorders>
              <w:top w:val="outset" w:sz="6" w:space="0" w:color="auto"/>
              <w:left w:val="outset" w:sz="6" w:space="0" w:color="auto"/>
              <w:bottom w:val="outset" w:sz="6" w:space="0" w:color="auto"/>
              <w:right w:val="outset" w:sz="6" w:space="0" w:color="auto"/>
            </w:tcBorders>
            <w:vAlign w:val="center"/>
            <w:hideMark/>
          </w:tcPr>
          <w:p w14:paraId="09592905" w14:textId="77777777" w:rsidR="005E310B" w:rsidRPr="005E310B" w:rsidRDefault="005E310B" w:rsidP="005E310B">
            <w:pPr>
              <w:ind w:firstLine="0"/>
              <w:jc w:val="left"/>
              <w:rPr>
                <w:rFonts w:eastAsia="Times New Roman" w:cs="Times New Roman"/>
                <w:sz w:val="20"/>
                <w:szCs w:val="20"/>
                <w:lang w:eastAsia="lv-LV"/>
              </w:rPr>
            </w:pPr>
          </w:p>
        </w:tc>
        <w:tc>
          <w:tcPr>
            <w:tcW w:w="5232" w:type="dxa"/>
            <w:gridSpan w:val="6"/>
            <w:tcBorders>
              <w:top w:val="outset" w:sz="6" w:space="0" w:color="auto"/>
              <w:left w:val="outset" w:sz="6" w:space="0" w:color="auto"/>
              <w:bottom w:val="outset" w:sz="6" w:space="0" w:color="auto"/>
              <w:right w:val="outset" w:sz="6" w:space="0" w:color="auto"/>
            </w:tcBorders>
            <w:vAlign w:val="center"/>
            <w:hideMark/>
          </w:tcPr>
          <w:p w14:paraId="3C874DA7"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b/>
                <w:bCs/>
                <w:sz w:val="20"/>
                <w:szCs w:val="20"/>
                <w:lang w:eastAsia="lv-LV"/>
              </w:rPr>
              <w:t>90 279 378</w:t>
            </w:r>
          </w:p>
        </w:tc>
      </w:tr>
    </w:tbl>
    <w:p w14:paraId="742E8249" w14:textId="325D197D" w:rsidR="005E310B" w:rsidRDefault="005E310B" w:rsidP="000F7B05">
      <w:pPr>
        <w:ind w:firstLine="0"/>
        <w:rPr>
          <w:rFonts w:eastAsia="Times New Roman" w:cs="Times New Roman"/>
          <w:szCs w:val="24"/>
          <w:lang w:eastAsia="lv-LV"/>
        </w:rPr>
      </w:pPr>
      <w:r w:rsidRPr="005E310B">
        <w:rPr>
          <w:rFonts w:eastAsia="Times New Roman" w:cs="Times New Roman"/>
          <w:szCs w:val="24"/>
          <w:lang w:eastAsia="lv-LV"/>
        </w:rPr>
        <w:br/>
        <w:t xml:space="preserve">Savukārt, diskontētā ekonomiskā ieguvumu vērtība pie diskonta likmes 5% gadā no “atceltajiem” slimības pabalstiem, veselības zaudējumiem un papildus iemaksātajiem nodokļiem no 2024. gada līdz 2029. gadam ir sagaidāma 76,7 milj. </w:t>
      </w:r>
      <w:r w:rsidRPr="005E310B">
        <w:rPr>
          <w:rFonts w:eastAsia="Times New Roman" w:cs="Times New Roman"/>
          <w:i/>
          <w:iCs/>
          <w:szCs w:val="24"/>
          <w:lang w:eastAsia="lv-LV"/>
        </w:rPr>
        <w:t xml:space="preserve">euro </w:t>
      </w:r>
      <w:r w:rsidRPr="005E310B">
        <w:rPr>
          <w:rFonts w:eastAsia="Times New Roman" w:cs="Times New Roman"/>
          <w:szCs w:val="24"/>
          <w:lang w:eastAsia="lv-LV"/>
        </w:rPr>
        <w:t>vērtībā. Detalizēts skaidrojums sniegts zemāk</w:t>
      </w:r>
      <w:r w:rsidR="00AF0047">
        <w:rPr>
          <w:rFonts w:eastAsia="Times New Roman" w:cs="Times New Roman"/>
          <w:szCs w:val="24"/>
          <w:lang w:eastAsia="lv-LV"/>
        </w:rPr>
        <w:t xml:space="preserve"> 6.tabulā</w:t>
      </w:r>
      <w:r w:rsidRPr="005E310B">
        <w:rPr>
          <w:rFonts w:eastAsia="Times New Roman" w:cs="Times New Roman"/>
          <w:szCs w:val="24"/>
          <w:lang w:eastAsia="lv-LV"/>
        </w:rPr>
        <w:t>.</w:t>
      </w:r>
    </w:p>
    <w:p w14:paraId="13384B0E" w14:textId="77777777" w:rsidR="00AF0047" w:rsidRDefault="00AF0047" w:rsidP="000F7B05">
      <w:pPr>
        <w:ind w:firstLine="0"/>
        <w:rPr>
          <w:rFonts w:eastAsia="Times New Roman" w:cs="Times New Roman"/>
          <w:szCs w:val="24"/>
          <w:lang w:eastAsia="lv-LV"/>
        </w:rPr>
      </w:pPr>
    </w:p>
    <w:p w14:paraId="3DE93EA6" w14:textId="27E1A6C7" w:rsidR="00AF0047" w:rsidRPr="005E310B" w:rsidRDefault="00AF0047" w:rsidP="000F7B05">
      <w:pPr>
        <w:ind w:firstLine="0"/>
        <w:rPr>
          <w:rFonts w:eastAsia="Times New Roman" w:cs="Times New Roman"/>
          <w:szCs w:val="24"/>
          <w:lang w:eastAsia="lv-LV"/>
        </w:rPr>
      </w:pPr>
      <w:r w:rsidRPr="00AF0047">
        <w:rPr>
          <w:rFonts w:eastAsia="Times New Roman" w:cs="Times New Roman"/>
          <w:i/>
          <w:iCs/>
          <w:szCs w:val="24"/>
          <w:lang w:eastAsia="lv-LV"/>
        </w:rPr>
        <w:t xml:space="preserve">6.tabula Sagaidāmie ieguvumi no </w:t>
      </w:r>
      <w:r w:rsidRPr="005E310B">
        <w:rPr>
          <w:rFonts w:eastAsia="Times New Roman" w:cs="Times New Roman"/>
          <w:i/>
          <w:iCs/>
          <w:szCs w:val="24"/>
          <w:lang w:eastAsia="lv-LV"/>
        </w:rPr>
        <w:t>VNDG rādītāja</w:t>
      </w:r>
      <w:r w:rsidRPr="00AF0047">
        <w:rPr>
          <w:rFonts w:eastAsia="Times New Roman" w:cs="Times New Roman"/>
          <w:i/>
          <w:iCs/>
          <w:szCs w:val="24"/>
          <w:lang w:eastAsia="lv-LV"/>
        </w:rPr>
        <w:t xml:space="preserve"> sasniegšanas no 2024. gada līdz 2027. gadam, euro</w:t>
      </w:r>
    </w:p>
    <w:tbl>
      <w:tblPr>
        <w:tblW w:w="5000" w:type="pct"/>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843"/>
        <w:gridCol w:w="992"/>
        <w:gridCol w:w="1276"/>
        <w:gridCol w:w="1134"/>
        <w:gridCol w:w="992"/>
        <w:gridCol w:w="1134"/>
        <w:gridCol w:w="1134"/>
        <w:gridCol w:w="844"/>
        <w:gridCol w:w="986"/>
      </w:tblGrid>
      <w:tr w:rsidR="000F7B05" w:rsidRPr="005E310B" w14:paraId="7BFB1399" w14:textId="77777777" w:rsidTr="000F7B05">
        <w:trPr>
          <w:tblCellSpacing w:w="0" w:type="dxa"/>
        </w:trPr>
        <w:tc>
          <w:tcPr>
            <w:tcW w:w="843" w:type="dxa"/>
            <w:vMerge w:val="restart"/>
            <w:tcBorders>
              <w:top w:val="outset" w:sz="6" w:space="0" w:color="auto"/>
              <w:left w:val="outset" w:sz="6" w:space="0" w:color="auto"/>
              <w:bottom w:val="outset" w:sz="6" w:space="0" w:color="auto"/>
              <w:right w:val="outset" w:sz="6" w:space="0" w:color="auto"/>
            </w:tcBorders>
            <w:vAlign w:val="center"/>
            <w:hideMark/>
          </w:tcPr>
          <w:p w14:paraId="3749104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Gads</w:t>
            </w:r>
          </w:p>
        </w:tc>
        <w:tc>
          <w:tcPr>
            <w:tcW w:w="992" w:type="dxa"/>
            <w:vMerge w:val="restart"/>
            <w:tcBorders>
              <w:top w:val="outset" w:sz="6" w:space="0" w:color="auto"/>
              <w:left w:val="outset" w:sz="6" w:space="0" w:color="auto"/>
              <w:bottom w:val="outset" w:sz="6" w:space="0" w:color="auto"/>
              <w:right w:val="outset" w:sz="6" w:space="0" w:color="auto"/>
            </w:tcBorders>
            <w:vAlign w:val="center"/>
            <w:hideMark/>
          </w:tcPr>
          <w:p w14:paraId="09021AA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Īstenošanas periods</w:t>
            </w:r>
          </w:p>
        </w:tc>
        <w:tc>
          <w:tcPr>
            <w:tcW w:w="1276" w:type="dxa"/>
            <w:vMerge w:val="restart"/>
            <w:tcBorders>
              <w:top w:val="outset" w:sz="6" w:space="0" w:color="auto"/>
              <w:left w:val="outset" w:sz="6" w:space="0" w:color="auto"/>
              <w:bottom w:val="outset" w:sz="6" w:space="0" w:color="auto"/>
              <w:right w:val="outset" w:sz="6" w:space="0" w:color="auto"/>
            </w:tcBorders>
            <w:vAlign w:val="center"/>
            <w:hideMark/>
          </w:tcPr>
          <w:p w14:paraId="30C6697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Projektu investīcijas </w:t>
            </w:r>
          </w:p>
        </w:tc>
        <w:tc>
          <w:tcPr>
            <w:tcW w:w="4394" w:type="dxa"/>
            <w:gridSpan w:val="4"/>
            <w:tcBorders>
              <w:top w:val="outset" w:sz="6" w:space="0" w:color="auto"/>
              <w:left w:val="outset" w:sz="6" w:space="0" w:color="auto"/>
              <w:bottom w:val="outset" w:sz="6" w:space="0" w:color="auto"/>
              <w:right w:val="outset" w:sz="6" w:space="0" w:color="auto"/>
            </w:tcBorders>
            <w:vAlign w:val="center"/>
            <w:hideMark/>
          </w:tcPr>
          <w:p w14:paraId="46C8D56B"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b/>
                <w:bCs/>
                <w:sz w:val="20"/>
                <w:szCs w:val="20"/>
                <w:lang w:eastAsia="lv-LV"/>
              </w:rPr>
              <w:t>Sociālekonomiskās atdeves rādītāji</w:t>
            </w:r>
          </w:p>
        </w:tc>
        <w:tc>
          <w:tcPr>
            <w:tcW w:w="844" w:type="dxa"/>
            <w:vMerge w:val="restart"/>
            <w:tcBorders>
              <w:top w:val="outset" w:sz="6" w:space="0" w:color="auto"/>
              <w:left w:val="outset" w:sz="6" w:space="0" w:color="auto"/>
              <w:bottom w:val="outset" w:sz="6" w:space="0" w:color="auto"/>
              <w:right w:val="outset" w:sz="6" w:space="0" w:color="auto"/>
            </w:tcBorders>
            <w:vAlign w:val="center"/>
            <w:hideMark/>
          </w:tcPr>
          <w:p w14:paraId="21B045E3"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(1+r)^(-n)*, kur r=5%</w:t>
            </w:r>
          </w:p>
        </w:tc>
        <w:tc>
          <w:tcPr>
            <w:tcW w:w="986" w:type="dxa"/>
            <w:vMerge w:val="restart"/>
            <w:tcBorders>
              <w:top w:val="outset" w:sz="6" w:space="0" w:color="auto"/>
              <w:left w:val="outset" w:sz="6" w:space="0" w:color="auto"/>
              <w:bottom w:val="outset" w:sz="6" w:space="0" w:color="auto"/>
              <w:right w:val="outset" w:sz="6" w:space="0" w:color="auto"/>
            </w:tcBorders>
            <w:vAlign w:val="center"/>
            <w:hideMark/>
          </w:tcPr>
          <w:p w14:paraId="0275CB0B"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Tīrie diskontētie ienākumi (NPV- Net present value) </w:t>
            </w:r>
          </w:p>
        </w:tc>
      </w:tr>
      <w:tr w:rsidR="000F7B05" w:rsidRPr="005E310B" w14:paraId="21776CE9" w14:textId="77777777" w:rsidTr="000F7B05">
        <w:trPr>
          <w:tblCellSpacing w:w="0" w:type="dxa"/>
        </w:trPr>
        <w:tc>
          <w:tcPr>
            <w:tcW w:w="843" w:type="dxa"/>
            <w:vMerge/>
            <w:tcBorders>
              <w:top w:val="outset" w:sz="6" w:space="0" w:color="auto"/>
              <w:left w:val="outset" w:sz="6" w:space="0" w:color="auto"/>
              <w:bottom w:val="outset" w:sz="6" w:space="0" w:color="auto"/>
              <w:right w:val="outset" w:sz="6" w:space="0" w:color="auto"/>
            </w:tcBorders>
            <w:vAlign w:val="center"/>
            <w:hideMark/>
          </w:tcPr>
          <w:p w14:paraId="6A2BD409" w14:textId="77777777" w:rsidR="005E310B" w:rsidRPr="005E310B" w:rsidRDefault="005E310B" w:rsidP="005E310B">
            <w:pPr>
              <w:ind w:firstLine="0"/>
              <w:jc w:val="left"/>
              <w:rPr>
                <w:rFonts w:eastAsia="Times New Roman" w:cs="Times New Roman"/>
                <w:sz w:val="20"/>
                <w:szCs w:val="20"/>
                <w:lang w:eastAsia="lv-LV"/>
              </w:rPr>
            </w:pPr>
          </w:p>
        </w:tc>
        <w:tc>
          <w:tcPr>
            <w:tcW w:w="992" w:type="dxa"/>
            <w:vMerge/>
            <w:tcBorders>
              <w:top w:val="outset" w:sz="6" w:space="0" w:color="auto"/>
              <w:left w:val="outset" w:sz="6" w:space="0" w:color="auto"/>
              <w:bottom w:val="outset" w:sz="6" w:space="0" w:color="auto"/>
              <w:right w:val="outset" w:sz="6" w:space="0" w:color="auto"/>
            </w:tcBorders>
            <w:vAlign w:val="center"/>
            <w:hideMark/>
          </w:tcPr>
          <w:p w14:paraId="2E724CFD" w14:textId="77777777" w:rsidR="005E310B" w:rsidRPr="005E310B" w:rsidRDefault="005E310B" w:rsidP="005E310B">
            <w:pPr>
              <w:ind w:firstLine="0"/>
              <w:jc w:val="left"/>
              <w:rPr>
                <w:rFonts w:eastAsia="Times New Roman" w:cs="Times New Roman"/>
                <w:sz w:val="20"/>
                <w:szCs w:val="20"/>
                <w:lang w:eastAsia="lv-LV"/>
              </w:rPr>
            </w:pPr>
          </w:p>
        </w:tc>
        <w:tc>
          <w:tcPr>
            <w:tcW w:w="1276" w:type="dxa"/>
            <w:vMerge/>
            <w:tcBorders>
              <w:top w:val="outset" w:sz="6" w:space="0" w:color="auto"/>
              <w:left w:val="outset" w:sz="6" w:space="0" w:color="auto"/>
              <w:bottom w:val="outset" w:sz="6" w:space="0" w:color="auto"/>
              <w:right w:val="outset" w:sz="6" w:space="0" w:color="auto"/>
            </w:tcBorders>
            <w:vAlign w:val="center"/>
            <w:hideMark/>
          </w:tcPr>
          <w:p w14:paraId="72005914" w14:textId="77777777" w:rsidR="005E310B" w:rsidRPr="005E310B" w:rsidRDefault="005E310B" w:rsidP="005E310B">
            <w:pPr>
              <w:ind w:firstLine="0"/>
              <w:jc w:val="left"/>
              <w:rPr>
                <w:rFonts w:eastAsia="Times New Roman" w:cs="Times New Roman"/>
                <w:sz w:val="20"/>
                <w:szCs w:val="20"/>
                <w:lang w:eastAsia="lv-LV"/>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126645E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Novērstie zaudējumi par slimības pabalstiem</w:t>
            </w:r>
          </w:p>
        </w:tc>
        <w:tc>
          <w:tcPr>
            <w:tcW w:w="992" w:type="dxa"/>
            <w:tcBorders>
              <w:top w:val="outset" w:sz="6" w:space="0" w:color="auto"/>
              <w:left w:val="outset" w:sz="6" w:space="0" w:color="auto"/>
              <w:bottom w:val="outset" w:sz="6" w:space="0" w:color="auto"/>
              <w:right w:val="outset" w:sz="6" w:space="0" w:color="auto"/>
            </w:tcBorders>
            <w:vAlign w:val="center"/>
            <w:hideMark/>
          </w:tcPr>
          <w:p w14:paraId="7895AA6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Veselības aprūpes izmaksu samazinājums</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0B818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Ieguvumi no produktivitātes pieauguma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184447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Kopā</w:t>
            </w:r>
          </w:p>
        </w:tc>
        <w:tc>
          <w:tcPr>
            <w:tcW w:w="844" w:type="dxa"/>
            <w:vMerge/>
            <w:tcBorders>
              <w:top w:val="outset" w:sz="6" w:space="0" w:color="auto"/>
              <w:left w:val="outset" w:sz="6" w:space="0" w:color="auto"/>
              <w:bottom w:val="outset" w:sz="6" w:space="0" w:color="auto"/>
              <w:right w:val="outset" w:sz="6" w:space="0" w:color="auto"/>
            </w:tcBorders>
            <w:vAlign w:val="center"/>
            <w:hideMark/>
          </w:tcPr>
          <w:p w14:paraId="5A44A748" w14:textId="77777777" w:rsidR="005E310B" w:rsidRPr="005E310B" w:rsidRDefault="005E310B" w:rsidP="005E310B">
            <w:pPr>
              <w:ind w:firstLine="0"/>
              <w:jc w:val="left"/>
              <w:rPr>
                <w:rFonts w:eastAsia="Times New Roman" w:cs="Times New Roman"/>
                <w:sz w:val="20"/>
                <w:szCs w:val="20"/>
                <w:lang w:eastAsia="lv-LV"/>
              </w:rPr>
            </w:pPr>
          </w:p>
        </w:tc>
        <w:tc>
          <w:tcPr>
            <w:tcW w:w="986" w:type="dxa"/>
            <w:vMerge/>
            <w:tcBorders>
              <w:top w:val="outset" w:sz="6" w:space="0" w:color="auto"/>
              <w:left w:val="outset" w:sz="6" w:space="0" w:color="auto"/>
              <w:bottom w:val="outset" w:sz="6" w:space="0" w:color="auto"/>
              <w:right w:val="outset" w:sz="6" w:space="0" w:color="auto"/>
            </w:tcBorders>
            <w:vAlign w:val="center"/>
            <w:hideMark/>
          </w:tcPr>
          <w:p w14:paraId="16D26B9F" w14:textId="77777777" w:rsidR="005E310B" w:rsidRPr="005E310B" w:rsidRDefault="005E310B" w:rsidP="005E310B">
            <w:pPr>
              <w:ind w:firstLine="0"/>
              <w:jc w:val="left"/>
              <w:rPr>
                <w:rFonts w:eastAsia="Times New Roman" w:cs="Times New Roman"/>
                <w:sz w:val="20"/>
                <w:szCs w:val="20"/>
                <w:lang w:eastAsia="lv-LV"/>
              </w:rPr>
            </w:pPr>
          </w:p>
        </w:tc>
      </w:tr>
      <w:tr w:rsidR="000F7B05" w:rsidRPr="005E310B" w14:paraId="6122B602"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7D99D852"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1</w:t>
            </w:r>
          </w:p>
        </w:tc>
        <w:tc>
          <w:tcPr>
            <w:tcW w:w="992" w:type="dxa"/>
            <w:tcBorders>
              <w:top w:val="outset" w:sz="6" w:space="0" w:color="auto"/>
              <w:left w:val="outset" w:sz="6" w:space="0" w:color="auto"/>
              <w:bottom w:val="outset" w:sz="6" w:space="0" w:color="auto"/>
              <w:right w:val="outset" w:sz="6" w:space="0" w:color="auto"/>
            </w:tcBorders>
            <w:vAlign w:val="center"/>
            <w:hideMark/>
          </w:tcPr>
          <w:p w14:paraId="120CAC0A"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2</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B30C4FE"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901F114"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4</w:t>
            </w:r>
          </w:p>
        </w:tc>
        <w:tc>
          <w:tcPr>
            <w:tcW w:w="992" w:type="dxa"/>
            <w:tcBorders>
              <w:top w:val="outset" w:sz="6" w:space="0" w:color="auto"/>
              <w:left w:val="outset" w:sz="6" w:space="0" w:color="auto"/>
              <w:bottom w:val="outset" w:sz="6" w:space="0" w:color="auto"/>
              <w:right w:val="outset" w:sz="6" w:space="0" w:color="auto"/>
            </w:tcBorders>
            <w:vAlign w:val="center"/>
            <w:hideMark/>
          </w:tcPr>
          <w:p w14:paraId="0A8A7DEF"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E0E025A"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A7D304D"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7 = 4+5+6</w:t>
            </w:r>
          </w:p>
        </w:tc>
        <w:tc>
          <w:tcPr>
            <w:tcW w:w="844" w:type="dxa"/>
            <w:tcBorders>
              <w:top w:val="outset" w:sz="6" w:space="0" w:color="auto"/>
              <w:left w:val="outset" w:sz="6" w:space="0" w:color="auto"/>
              <w:bottom w:val="outset" w:sz="6" w:space="0" w:color="auto"/>
              <w:right w:val="outset" w:sz="6" w:space="0" w:color="auto"/>
            </w:tcBorders>
            <w:vAlign w:val="center"/>
            <w:hideMark/>
          </w:tcPr>
          <w:p w14:paraId="2FB2F2AF"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8</w:t>
            </w:r>
          </w:p>
        </w:tc>
        <w:tc>
          <w:tcPr>
            <w:tcW w:w="986" w:type="dxa"/>
            <w:tcBorders>
              <w:top w:val="outset" w:sz="6" w:space="0" w:color="auto"/>
              <w:left w:val="outset" w:sz="6" w:space="0" w:color="auto"/>
              <w:bottom w:val="outset" w:sz="6" w:space="0" w:color="auto"/>
              <w:right w:val="outset" w:sz="6" w:space="0" w:color="auto"/>
            </w:tcBorders>
            <w:vAlign w:val="center"/>
            <w:hideMark/>
          </w:tcPr>
          <w:p w14:paraId="7F14EF06" w14:textId="77777777" w:rsidR="005E310B" w:rsidRPr="005E310B" w:rsidRDefault="005E310B" w:rsidP="005E310B">
            <w:pPr>
              <w:ind w:firstLine="0"/>
              <w:jc w:val="center"/>
              <w:rPr>
                <w:rFonts w:eastAsia="Times New Roman" w:cs="Times New Roman"/>
                <w:sz w:val="20"/>
                <w:szCs w:val="20"/>
                <w:lang w:eastAsia="lv-LV"/>
              </w:rPr>
            </w:pPr>
            <w:r w:rsidRPr="005E310B">
              <w:rPr>
                <w:rFonts w:eastAsia="Times New Roman" w:cs="Times New Roman"/>
                <w:sz w:val="20"/>
                <w:szCs w:val="20"/>
                <w:vertAlign w:val="superscript"/>
                <w:lang w:eastAsia="lv-LV"/>
              </w:rPr>
              <w:t>9 = (7-3)x8</w:t>
            </w:r>
          </w:p>
        </w:tc>
      </w:tr>
      <w:tr w:rsidR="000F7B05" w:rsidRPr="005E310B" w14:paraId="4CF2CC09"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0BAD5C3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2023</w:t>
            </w:r>
          </w:p>
        </w:tc>
        <w:tc>
          <w:tcPr>
            <w:tcW w:w="992" w:type="dxa"/>
            <w:tcBorders>
              <w:top w:val="outset" w:sz="6" w:space="0" w:color="auto"/>
              <w:left w:val="outset" w:sz="6" w:space="0" w:color="auto"/>
              <w:bottom w:val="outset" w:sz="6" w:space="0" w:color="auto"/>
              <w:right w:val="outset" w:sz="6" w:space="0" w:color="auto"/>
            </w:tcBorders>
            <w:vAlign w:val="center"/>
            <w:hideMark/>
          </w:tcPr>
          <w:p w14:paraId="14B8977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89825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FD6DA8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992" w:type="dxa"/>
            <w:tcBorders>
              <w:top w:val="outset" w:sz="6" w:space="0" w:color="auto"/>
              <w:left w:val="outset" w:sz="6" w:space="0" w:color="auto"/>
              <w:bottom w:val="outset" w:sz="6" w:space="0" w:color="auto"/>
              <w:right w:val="outset" w:sz="6" w:space="0" w:color="auto"/>
            </w:tcBorders>
            <w:vAlign w:val="center"/>
            <w:hideMark/>
          </w:tcPr>
          <w:p w14:paraId="008978A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4E781A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066BB3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844" w:type="dxa"/>
            <w:tcBorders>
              <w:top w:val="outset" w:sz="6" w:space="0" w:color="auto"/>
              <w:left w:val="outset" w:sz="6" w:space="0" w:color="auto"/>
              <w:bottom w:val="outset" w:sz="6" w:space="0" w:color="auto"/>
              <w:right w:val="outset" w:sz="6" w:space="0" w:color="auto"/>
            </w:tcBorders>
            <w:vAlign w:val="center"/>
            <w:hideMark/>
          </w:tcPr>
          <w:p w14:paraId="70290B8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w:t>
            </w:r>
          </w:p>
        </w:tc>
        <w:tc>
          <w:tcPr>
            <w:tcW w:w="986" w:type="dxa"/>
            <w:tcBorders>
              <w:top w:val="outset" w:sz="6" w:space="0" w:color="auto"/>
              <w:left w:val="outset" w:sz="6" w:space="0" w:color="auto"/>
              <w:bottom w:val="outset" w:sz="6" w:space="0" w:color="auto"/>
              <w:right w:val="outset" w:sz="6" w:space="0" w:color="auto"/>
            </w:tcBorders>
            <w:vAlign w:val="center"/>
            <w:hideMark/>
          </w:tcPr>
          <w:p w14:paraId="71AB1FE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r>
      <w:tr w:rsidR="000F7B05" w:rsidRPr="005E310B" w14:paraId="2583F8B0"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198A524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2024</w:t>
            </w:r>
          </w:p>
        </w:tc>
        <w:tc>
          <w:tcPr>
            <w:tcW w:w="992" w:type="dxa"/>
            <w:tcBorders>
              <w:top w:val="outset" w:sz="6" w:space="0" w:color="auto"/>
              <w:left w:val="outset" w:sz="6" w:space="0" w:color="auto"/>
              <w:bottom w:val="outset" w:sz="6" w:space="0" w:color="auto"/>
              <w:right w:val="outset" w:sz="6" w:space="0" w:color="auto"/>
            </w:tcBorders>
            <w:vAlign w:val="center"/>
            <w:hideMark/>
          </w:tcPr>
          <w:p w14:paraId="6A82716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w:t>
            </w:r>
          </w:p>
        </w:tc>
        <w:tc>
          <w:tcPr>
            <w:tcW w:w="1276" w:type="dxa"/>
            <w:tcBorders>
              <w:top w:val="outset" w:sz="6" w:space="0" w:color="auto"/>
              <w:left w:val="outset" w:sz="6" w:space="0" w:color="auto"/>
              <w:bottom w:val="outset" w:sz="6" w:space="0" w:color="auto"/>
              <w:right w:val="outset" w:sz="6" w:space="0" w:color="auto"/>
            </w:tcBorders>
            <w:vAlign w:val="center"/>
            <w:hideMark/>
          </w:tcPr>
          <w:p w14:paraId="2945B54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3 909 327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247CFA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180 646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7F67E0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1 105 074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64EBC1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4 518 990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591E85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5 804 710</w:t>
            </w:r>
          </w:p>
        </w:tc>
        <w:tc>
          <w:tcPr>
            <w:tcW w:w="844" w:type="dxa"/>
            <w:tcBorders>
              <w:top w:val="outset" w:sz="6" w:space="0" w:color="auto"/>
              <w:left w:val="outset" w:sz="6" w:space="0" w:color="auto"/>
              <w:bottom w:val="outset" w:sz="6" w:space="0" w:color="auto"/>
              <w:right w:val="outset" w:sz="6" w:space="0" w:color="auto"/>
            </w:tcBorders>
            <w:vAlign w:val="center"/>
            <w:hideMark/>
          </w:tcPr>
          <w:p w14:paraId="698B175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0.952381</w:t>
            </w:r>
          </w:p>
        </w:tc>
        <w:tc>
          <w:tcPr>
            <w:tcW w:w="986" w:type="dxa"/>
            <w:tcBorders>
              <w:top w:val="outset" w:sz="6" w:space="0" w:color="auto"/>
              <w:left w:val="outset" w:sz="6" w:space="0" w:color="auto"/>
              <w:bottom w:val="outset" w:sz="6" w:space="0" w:color="auto"/>
              <w:right w:val="outset" w:sz="6" w:space="0" w:color="auto"/>
            </w:tcBorders>
            <w:vAlign w:val="center"/>
            <w:hideMark/>
          </w:tcPr>
          <w:p w14:paraId="180C28B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1 805 127</w:t>
            </w:r>
          </w:p>
        </w:tc>
      </w:tr>
      <w:tr w:rsidR="000F7B05" w:rsidRPr="005E310B" w14:paraId="10EA79D6"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52E82E7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2025</w:t>
            </w:r>
          </w:p>
        </w:tc>
        <w:tc>
          <w:tcPr>
            <w:tcW w:w="992" w:type="dxa"/>
            <w:tcBorders>
              <w:top w:val="outset" w:sz="6" w:space="0" w:color="auto"/>
              <w:left w:val="outset" w:sz="6" w:space="0" w:color="auto"/>
              <w:bottom w:val="outset" w:sz="6" w:space="0" w:color="auto"/>
              <w:right w:val="outset" w:sz="6" w:space="0" w:color="auto"/>
            </w:tcBorders>
            <w:vAlign w:val="center"/>
            <w:hideMark/>
          </w:tcPr>
          <w:p w14:paraId="304C2DE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588DA9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7 941 702</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E37BCF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547 673</w:t>
            </w:r>
          </w:p>
        </w:tc>
        <w:tc>
          <w:tcPr>
            <w:tcW w:w="992" w:type="dxa"/>
            <w:tcBorders>
              <w:top w:val="outset" w:sz="6" w:space="0" w:color="auto"/>
              <w:left w:val="outset" w:sz="6" w:space="0" w:color="auto"/>
              <w:bottom w:val="outset" w:sz="6" w:space="0" w:color="auto"/>
              <w:right w:val="outset" w:sz="6" w:space="0" w:color="auto"/>
            </w:tcBorders>
            <w:vAlign w:val="center"/>
            <w:hideMark/>
          </w:tcPr>
          <w:p w14:paraId="5B59E47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3 350 302</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29D95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13 700 430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27095D3"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17 598 405</w:t>
            </w:r>
          </w:p>
        </w:tc>
        <w:tc>
          <w:tcPr>
            <w:tcW w:w="844" w:type="dxa"/>
            <w:tcBorders>
              <w:top w:val="outset" w:sz="6" w:space="0" w:color="auto"/>
              <w:left w:val="outset" w:sz="6" w:space="0" w:color="auto"/>
              <w:bottom w:val="outset" w:sz="6" w:space="0" w:color="auto"/>
              <w:right w:val="outset" w:sz="6" w:space="0" w:color="auto"/>
            </w:tcBorders>
            <w:vAlign w:val="center"/>
            <w:hideMark/>
          </w:tcPr>
          <w:p w14:paraId="0430752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0.90702</w:t>
            </w:r>
          </w:p>
        </w:tc>
        <w:tc>
          <w:tcPr>
            <w:tcW w:w="986" w:type="dxa"/>
            <w:tcBorders>
              <w:top w:val="outset" w:sz="6" w:space="0" w:color="auto"/>
              <w:left w:val="outset" w:sz="6" w:space="0" w:color="auto"/>
              <w:bottom w:val="outset" w:sz="6" w:space="0" w:color="auto"/>
              <w:right w:val="outset" w:sz="6" w:space="0" w:color="auto"/>
            </w:tcBorders>
            <w:vAlign w:val="center"/>
            <w:hideMark/>
          </w:tcPr>
          <w:p w14:paraId="520B272B"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8 758 914</w:t>
            </w:r>
          </w:p>
        </w:tc>
      </w:tr>
      <w:tr w:rsidR="000F7B05" w:rsidRPr="005E310B" w14:paraId="6F568882"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0E50B8B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lastRenderedPageBreak/>
              <w:t>2026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9CB4A9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w:t>
            </w:r>
          </w:p>
        </w:tc>
        <w:tc>
          <w:tcPr>
            <w:tcW w:w="1276" w:type="dxa"/>
            <w:tcBorders>
              <w:top w:val="outset" w:sz="6" w:space="0" w:color="auto"/>
              <w:left w:val="outset" w:sz="6" w:space="0" w:color="auto"/>
              <w:bottom w:val="outset" w:sz="6" w:space="0" w:color="auto"/>
              <w:right w:val="outset" w:sz="6" w:space="0" w:color="auto"/>
            </w:tcBorders>
            <w:vAlign w:val="center"/>
            <w:hideMark/>
          </w:tcPr>
          <w:p w14:paraId="16F9D50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12 811 587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96E5AA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1 139 887</w:t>
            </w:r>
          </w:p>
        </w:tc>
        <w:tc>
          <w:tcPr>
            <w:tcW w:w="992" w:type="dxa"/>
            <w:tcBorders>
              <w:top w:val="outset" w:sz="6" w:space="0" w:color="auto"/>
              <w:left w:val="outset" w:sz="6" w:space="0" w:color="auto"/>
              <w:bottom w:val="outset" w:sz="6" w:space="0" w:color="auto"/>
              <w:right w:val="outset" w:sz="6" w:space="0" w:color="auto"/>
            </w:tcBorders>
            <w:vAlign w:val="center"/>
            <w:hideMark/>
          </w:tcPr>
          <w:p w14:paraId="69980B0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6 973 073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8EC40B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28 515 066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A7BB49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36 628 026</w:t>
            </w:r>
          </w:p>
        </w:tc>
        <w:tc>
          <w:tcPr>
            <w:tcW w:w="844" w:type="dxa"/>
            <w:tcBorders>
              <w:top w:val="outset" w:sz="6" w:space="0" w:color="auto"/>
              <w:left w:val="outset" w:sz="6" w:space="0" w:color="auto"/>
              <w:bottom w:val="outset" w:sz="6" w:space="0" w:color="auto"/>
              <w:right w:val="outset" w:sz="6" w:space="0" w:color="auto"/>
            </w:tcBorders>
            <w:vAlign w:val="center"/>
            <w:hideMark/>
          </w:tcPr>
          <w:p w14:paraId="26CD398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0.86383</w:t>
            </w:r>
          </w:p>
        </w:tc>
        <w:tc>
          <w:tcPr>
            <w:tcW w:w="986" w:type="dxa"/>
            <w:tcBorders>
              <w:top w:val="outset" w:sz="6" w:space="0" w:color="auto"/>
              <w:left w:val="outset" w:sz="6" w:space="0" w:color="auto"/>
              <w:bottom w:val="outset" w:sz="6" w:space="0" w:color="auto"/>
              <w:right w:val="outset" w:sz="6" w:space="0" w:color="auto"/>
            </w:tcBorders>
            <w:vAlign w:val="center"/>
            <w:hideMark/>
          </w:tcPr>
          <w:p w14:paraId="2A252DB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20 573 535</w:t>
            </w:r>
          </w:p>
        </w:tc>
      </w:tr>
      <w:tr w:rsidR="000F7B05" w:rsidRPr="005E310B" w14:paraId="3982A76A"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65BFDFA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2027</w:t>
            </w:r>
          </w:p>
        </w:tc>
        <w:tc>
          <w:tcPr>
            <w:tcW w:w="992" w:type="dxa"/>
            <w:tcBorders>
              <w:top w:val="outset" w:sz="6" w:space="0" w:color="auto"/>
              <w:left w:val="outset" w:sz="6" w:space="0" w:color="auto"/>
              <w:bottom w:val="outset" w:sz="6" w:space="0" w:color="auto"/>
              <w:right w:val="outset" w:sz="6" w:space="0" w:color="auto"/>
            </w:tcBorders>
            <w:vAlign w:val="center"/>
            <w:hideMark/>
          </w:tcPr>
          <w:p w14:paraId="0CF50B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w:t>
            </w:r>
          </w:p>
        </w:tc>
        <w:tc>
          <w:tcPr>
            <w:tcW w:w="1276" w:type="dxa"/>
            <w:tcBorders>
              <w:top w:val="outset" w:sz="6" w:space="0" w:color="auto"/>
              <w:left w:val="outset" w:sz="6" w:space="0" w:color="auto"/>
              <w:bottom w:val="outset" w:sz="6" w:space="0" w:color="auto"/>
              <w:right w:val="outset" w:sz="6" w:space="0" w:color="auto"/>
            </w:tcBorders>
            <w:vAlign w:val="center"/>
            <w:hideMark/>
          </w:tcPr>
          <w:p w14:paraId="2FBA859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13 003 293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1A35C81"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1 740 703</w:t>
            </w:r>
          </w:p>
        </w:tc>
        <w:tc>
          <w:tcPr>
            <w:tcW w:w="992" w:type="dxa"/>
            <w:tcBorders>
              <w:top w:val="outset" w:sz="6" w:space="0" w:color="auto"/>
              <w:left w:val="outset" w:sz="6" w:space="0" w:color="auto"/>
              <w:bottom w:val="outset" w:sz="6" w:space="0" w:color="auto"/>
              <w:right w:val="outset" w:sz="6" w:space="0" w:color="auto"/>
            </w:tcBorders>
            <w:vAlign w:val="center"/>
            <w:hideMark/>
          </w:tcPr>
          <w:p w14:paraId="13207D4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10 648 465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0720FE3"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43 544 892</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2D8592D"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55 934 060</w:t>
            </w:r>
          </w:p>
        </w:tc>
        <w:tc>
          <w:tcPr>
            <w:tcW w:w="844" w:type="dxa"/>
            <w:tcBorders>
              <w:top w:val="outset" w:sz="6" w:space="0" w:color="auto"/>
              <w:left w:val="outset" w:sz="6" w:space="0" w:color="auto"/>
              <w:bottom w:val="outset" w:sz="6" w:space="0" w:color="auto"/>
              <w:right w:val="outset" w:sz="6" w:space="0" w:color="auto"/>
            </w:tcBorders>
            <w:vAlign w:val="center"/>
            <w:hideMark/>
          </w:tcPr>
          <w:p w14:paraId="10E1C16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0.82270</w:t>
            </w:r>
          </w:p>
        </w:tc>
        <w:tc>
          <w:tcPr>
            <w:tcW w:w="986" w:type="dxa"/>
            <w:tcBorders>
              <w:top w:val="outset" w:sz="6" w:space="0" w:color="auto"/>
              <w:left w:val="outset" w:sz="6" w:space="0" w:color="auto"/>
              <w:bottom w:val="outset" w:sz="6" w:space="0" w:color="auto"/>
              <w:right w:val="outset" w:sz="6" w:space="0" w:color="auto"/>
            </w:tcBorders>
            <w:vAlign w:val="center"/>
            <w:hideMark/>
          </w:tcPr>
          <w:p w14:paraId="3FC667A3"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35 319 248</w:t>
            </w:r>
          </w:p>
        </w:tc>
      </w:tr>
      <w:tr w:rsidR="000F7B05" w:rsidRPr="005E310B" w14:paraId="5C55074A"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645D671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2028</w:t>
            </w:r>
          </w:p>
        </w:tc>
        <w:tc>
          <w:tcPr>
            <w:tcW w:w="992" w:type="dxa"/>
            <w:tcBorders>
              <w:top w:val="outset" w:sz="6" w:space="0" w:color="auto"/>
              <w:left w:val="outset" w:sz="6" w:space="0" w:color="auto"/>
              <w:bottom w:val="outset" w:sz="6" w:space="0" w:color="auto"/>
              <w:right w:val="outset" w:sz="6" w:space="0" w:color="auto"/>
            </w:tcBorders>
            <w:vAlign w:val="center"/>
            <w:hideMark/>
          </w:tcPr>
          <w:p w14:paraId="6E49F36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5</w:t>
            </w:r>
          </w:p>
        </w:tc>
        <w:tc>
          <w:tcPr>
            <w:tcW w:w="1276" w:type="dxa"/>
            <w:tcBorders>
              <w:top w:val="outset" w:sz="6" w:space="0" w:color="auto"/>
              <w:left w:val="outset" w:sz="6" w:space="0" w:color="auto"/>
              <w:bottom w:val="outset" w:sz="6" w:space="0" w:color="auto"/>
              <w:right w:val="outset" w:sz="6" w:space="0" w:color="auto"/>
            </w:tcBorders>
            <w:vAlign w:val="center"/>
            <w:hideMark/>
          </w:tcPr>
          <w:p w14:paraId="260B291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10 704 555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533D7E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2 235 425</w:t>
            </w:r>
          </w:p>
        </w:tc>
        <w:tc>
          <w:tcPr>
            <w:tcW w:w="992" w:type="dxa"/>
            <w:tcBorders>
              <w:top w:val="outset" w:sz="6" w:space="0" w:color="auto"/>
              <w:left w:val="outset" w:sz="6" w:space="0" w:color="auto"/>
              <w:bottom w:val="outset" w:sz="6" w:space="0" w:color="auto"/>
              <w:right w:val="outset" w:sz="6" w:space="0" w:color="auto"/>
            </w:tcBorders>
            <w:vAlign w:val="center"/>
            <w:hideMark/>
          </w:tcPr>
          <w:p w14:paraId="00EDB6F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13 674 847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A920976"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F81CFE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15 910 272</w:t>
            </w:r>
          </w:p>
        </w:tc>
        <w:tc>
          <w:tcPr>
            <w:tcW w:w="844" w:type="dxa"/>
            <w:tcBorders>
              <w:top w:val="outset" w:sz="6" w:space="0" w:color="auto"/>
              <w:left w:val="outset" w:sz="6" w:space="0" w:color="auto"/>
              <w:bottom w:val="outset" w:sz="6" w:space="0" w:color="auto"/>
              <w:right w:val="outset" w:sz="6" w:space="0" w:color="auto"/>
            </w:tcBorders>
            <w:vAlign w:val="center"/>
            <w:hideMark/>
          </w:tcPr>
          <w:p w14:paraId="0210D22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0.78352</w:t>
            </w:r>
          </w:p>
        </w:tc>
        <w:tc>
          <w:tcPr>
            <w:tcW w:w="986" w:type="dxa"/>
            <w:tcBorders>
              <w:top w:val="outset" w:sz="6" w:space="0" w:color="auto"/>
              <w:left w:val="outset" w:sz="6" w:space="0" w:color="auto"/>
              <w:bottom w:val="outset" w:sz="6" w:space="0" w:color="auto"/>
              <w:right w:val="outset" w:sz="6" w:space="0" w:color="auto"/>
            </w:tcBorders>
            <w:vAlign w:val="center"/>
            <w:hideMark/>
          </w:tcPr>
          <w:p w14:paraId="5A5A7C0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4 078 815</w:t>
            </w:r>
          </w:p>
        </w:tc>
      </w:tr>
      <w:tr w:rsidR="000F7B05" w:rsidRPr="005E310B" w14:paraId="057651F4"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45057E32"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2029</w:t>
            </w:r>
          </w:p>
        </w:tc>
        <w:tc>
          <w:tcPr>
            <w:tcW w:w="992" w:type="dxa"/>
            <w:tcBorders>
              <w:top w:val="outset" w:sz="6" w:space="0" w:color="auto"/>
              <w:left w:val="outset" w:sz="6" w:space="0" w:color="auto"/>
              <w:bottom w:val="outset" w:sz="6" w:space="0" w:color="auto"/>
              <w:right w:val="outset" w:sz="6" w:space="0" w:color="auto"/>
            </w:tcBorders>
            <w:vAlign w:val="center"/>
            <w:hideMark/>
          </w:tcPr>
          <w:p w14:paraId="7EC7159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6</w:t>
            </w:r>
          </w:p>
        </w:tc>
        <w:tc>
          <w:tcPr>
            <w:tcW w:w="1276" w:type="dxa"/>
            <w:tcBorders>
              <w:top w:val="outset" w:sz="6" w:space="0" w:color="auto"/>
              <w:left w:val="outset" w:sz="6" w:space="0" w:color="auto"/>
              <w:bottom w:val="outset" w:sz="6" w:space="0" w:color="auto"/>
              <w:right w:val="outset" w:sz="6" w:space="0" w:color="auto"/>
            </w:tcBorders>
            <w:vAlign w:val="center"/>
            <w:hideMark/>
          </w:tcPr>
          <w:p w14:paraId="3694EC85"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11 398 536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A42850F"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2 762 262</w:t>
            </w:r>
          </w:p>
        </w:tc>
        <w:tc>
          <w:tcPr>
            <w:tcW w:w="992" w:type="dxa"/>
            <w:tcBorders>
              <w:top w:val="outset" w:sz="6" w:space="0" w:color="auto"/>
              <w:left w:val="outset" w:sz="6" w:space="0" w:color="auto"/>
              <w:bottom w:val="outset" w:sz="6" w:space="0" w:color="auto"/>
              <w:right w:val="outset" w:sz="6" w:space="0" w:color="auto"/>
            </w:tcBorders>
            <w:vAlign w:val="center"/>
            <w:hideMark/>
          </w:tcPr>
          <w:p w14:paraId="34F742A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16 897 686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CC4CEF9"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544D2D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19 659 948</w:t>
            </w:r>
          </w:p>
        </w:tc>
        <w:tc>
          <w:tcPr>
            <w:tcW w:w="844" w:type="dxa"/>
            <w:tcBorders>
              <w:top w:val="outset" w:sz="6" w:space="0" w:color="auto"/>
              <w:left w:val="outset" w:sz="6" w:space="0" w:color="auto"/>
              <w:bottom w:val="outset" w:sz="6" w:space="0" w:color="auto"/>
              <w:right w:val="outset" w:sz="6" w:space="0" w:color="auto"/>
            </w:tcBorders>
            <w:vAlign w:val="center"/>
            <w:hideMark/>
          </w:tcPr>
          <w:p w14:paraId="6C5863C8"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0.74621</w:t>
            </w:r>
          </w:p>
        </w:tc>
        <w:tc>
          <w:tcPr>
            <w:tcW w:w="986" w:type="dxa"/>
            <w:tcBorders>
              <w:top w:val="outset" w:sz="6" w:space="0" w:color="auto"/>
              <w:left w:val="outset" w:sz="6" w:space="0" w:color="auto"/>
              <w:bottom w:val="outset" w:sz="6" w:space="0" w:color="auto"/>
              <w:right w:val="outset" w:sz="6" w:space="0" w:color="auto"/>
            </w:tcBorders>
            <w:vAlign w:val="center"/>
            <w:hideMark/>
          </w:tcPr>
          <w:p w14:paraId="15F8D0FE"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sz w:val="20"/>
                <w:szCs w:val="20"/>
                <w:lang w:eastAsia="lv-LV"/>
              </w:rPr>
              <w:t>6 164 793</w:t>
            </w:r>
          </w:p>
        </w:tc>
      </w:tr>
      <w:tr w:rsidR="000F7B05" w:rsidRPr="005E310B" w14:paraId="38DA8C71" w14:textId="77777777" w:rsidTr="000F7B05">
        <w:trPr>
          <w:tblCellSpacing w:w="0" w:type="dxa"/>
        </w:trPr>
        <w:tc>
          <w:tcPr>
            <w:tcW w:w="843" w:type="dxa"/>
            <w:tcBorders>
              <w:top w:val="outset" w:sz="6" w:space="0" w:color="auto"/>
              <w:left w:val="outset" w:sz="6" w:space="0" w:color="auto"/>
              <w:bottom w:val="outset" w:sz="6" w:space="0" w:color="auto"/>
              <w:right w:val="outset" w:sz="6" w:space="0" w:color="auto"/>
            </w:tcBorders>
            <w:vAlign w:val="center"/>
            <w:hideMark/>
          </w:tcPr>
          <w:p w14:paraId="2732C18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Kopā:</w:t>
            </w:r>
          </w:p>
        </w:tc>
        <w:tc>
          <w:tcPr>
            <w:tcW w:w="992" w:type="dxa"/>
            <w:tcBorders>
              <w:top w:val="outset" w:sz="6" w:space="0" w:color="auto"/>
              <w:left w:val="outset" w:sz="6" w:space="0" w:color="auto"/>
              <w:bottom w:val="outset" w:sz="6" w:space="0" w:color="auto"/>
              <w:right w:val="outset" w:sz="6" w:space="0" w:color="auto"/>
            </w:tcBorders>
            <w:vAlign w:val="center"/>
            <w:hideMark/>
          </w:tcPr>
          <w:p w14:paraId="6137213F" w14:textId="77777777" w:rsidR="005E310B" w:rsidRPr="005E310B" w:rsidRDefault="005E310B" w:rsidP="005E310B">
            <w:pPr>
              <w:ind w:firstLine="0"/>
              <w:jc w:val="left"/>
              <w:rPr>
                <w:rFonts w:eastAsia="Times New Roman" w:cs="Times New Roman"/>
                <w:sz w:val="20"/>
                <w:szCs w:val="20"/>
                <w:lang w:eastAsia="lv-LV"/>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1B03597C"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59 769 000</w:t>
            </w:r>
            <w:r w:rsidRPr="005E310B">
              <w:rPr>
                <w:rFonts w:eastAsia="Times New Roman" w:cs="Times New Roman"/>
                <w:b/>
                <w:bCs/>
                <w:sz w:val="20"/>
                <w:szCs w:val="20"/>
                <w:vertAlign w:val="superscript"/>
                <w:lang w:eastAsia="lv-LV"/>
              </w:rPr>
              <w:t>*</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A8CBD97"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8 606 596</w:t>
            </w:r>
          </w:p>
        </w:tc>
        <w:tc>
          <w:tcPr>
            <w:tcW w:w="992" w:type="dxa"/>
            <w:tcBorders>
              <w:top w:val="outset" w:sz="6" w:space="0" w:color="auto"/>
              <w:left w:val="outset" w:sz="6" w:space="0" w:color="auto"/>
              <w:bottom w:val="outset" w:sz="6" w:space="0" w:color="auto"/>
              <w:right w:val="outset" w:sz="6" w:space="0" w:color="auto"/>
            </w:tcBorders>
            <w:vAlign w:val="center"/>
            <w:hideMark/>
          </w:tcPr>
          <w:p w14:paraId="3452380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52 649 447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13B324A"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90 279 378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7051600"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151 535 421</w:t>
            </w:r>
          </w:p>
        </w:tc>
        <w:tc>
          <w:tcPr>
            <w:tcW w:w="844" w:type="dxa"/>
            <w:tcBorders>
              <w:top w:val="outset" w:sz="6" w:space="0" w:color="auto"/>
              <w:left w:val="outset" w:sz="6" w:space="0" w:color="auto"/>
              <w:bottom w:val="outset" w:sz="6" w:space="0" w:color="auto"/>
              <w:right w:val="outset" w:sz="6" w:space="0" w:color="auto"/>
            </w:tcBorders>
            <w:vAlign w:val="center"/>
            <w:hideMark/>
          </w:tcPr>
          <w:p w14:paraId="4929E507" w14:textId="77777777" w:rsidR="005E310B" w:rsidRPr="005E310B" w:rsidRDefault="005E310B" w:rsidP="005E310B">
            <w:pPr>
              <w:ind w:firstLine="0"/>
              <w:jc w:val="left"/>
              <w:rPr>
                <w:rFonts w:eastAsia="Times New Roman" w:cs="Times New Roman"/>
                <w:sz w:val="20"/>
                <w:szCs w:val="20"/>
                <w:lang w:eastAsia="lv-LV"/>
              </w:rPr>
            </w:pPr>
          </w:p>
        </w:tc>
        <w:tc>
          <w:tcPr>
            <w:tcW w:w="986" w:type="dxa"/>
            <w:tcBorders>
              <w:top w:val="outset" w:sz="6" w:space="0" w:color="auto"/>
              <w:left w:val="outset" w:sz="6" w:space="0" w:color="auto"/>
              <w:bottom w:val="outset" w:sz="6" w:space="0" w:color="auto"/>
              <w:right w:val="outset" w:sz="6" w:space="0" w:color="auto"/>
            </w:tcBorders>
            <w:vAlign w:val="center"/>
            <w:hideMark/>
          </w:tcPr>
          <w:p w14:paraId="67440E04" w14:textId="77777777" w:rsidR="005E310B" w:rsidRPr="005E310B" w:rsidRDefault="005E310B" w:rsidP="005E310B">
            <w:pPr>
              <w:ind w:firstLine="0"/>
              <w:jc w:val="left"/>
              <w:rPr>
                <w:rFonts w:eastAsia="Times New Roman" w:cs="Times New Roman"/>
                <w:sz w:val="20"/>
                <w:szCs w:val="20"/>
                <w:lang w:eastAsia="lv-LV"/>
              </w:rPr>
            </w:pPr>
            <w:r w:rsidRPr="005E310B">
              <w:rPr>
                <w:rFonts w:eastAsia="Times New Roman" w:cs="Times New Roman"/>
                <w:b/>
                <w:bCs/>
                <w:sz w:val="20"/>
                <w:szCs w:val="20"/>
                <w:lang w:eastAsia="lv-LV"/>
              </w:rPr>
              <w:t>76 700 432</w:t>
            </w:r>
          </w:p>
        </w:tc>
      </w:tr>
    </w:tbl>
    <w:p w14:paraId="03999A8F" w14:textId="32B333C9" w:rsidR="005E310B" w:rsidRDefault="005E310B" w:rsidP="005E310B">
      <w:pPr>
        <w:ind w:firstLine="0"/>
        <w:rPr>
          <w:rFonts w:eastAsia="Calibri"/>
        </w:rPr>
      </w:pPr>
      <w:r w:rsidRPr="005E310B">
        <w:rPr>
          <w:rFonts w:eastAsia="Times New Roman" w:cs="Times New Roman"/>
          <w:szCs w:val="24"/>
          <w:lang w:eastAsia="lv-LV"/>
        </w:rPr>
        <w:br/>
      </w:r>
      <w:r w:rsidRPr="005E310B">
        <w:rPr>
          <w:rFonts w:eastAsia="Times New Roman" w:cs="Times New Roman"/>
          <w:szCs w:val="24"/>
          <w:vertAlign w:val="superscript"/>
          <w:lang w:eastAsia="lv-LV"/>
        </w:rPr>
        <w:t>*</w:t>
      </w:r>
      <w:r w:rsidRPr="005E310B">
        <w:rPr>
          <w:rFonts w:eastAsia="Times New Roman" w:cs="Times New Roman"/>
          <w:szCs w:val="24"/>
          <w:lang w:eastAsia="lv-LV"/>
        </w:rPr>
        <w:t xml:space="preserve">- visu </w:t>
      </w:r>
      <w:r w:rsidR="000F7B05">
        <w:rPr>
          <w:rFonts w:eastAsia="Times New Roman" w:cs="Times New Roman"/>
          <w:szCs w:val="24"/>
          <w:lang w:eastAsia="lv-LV"/>
        </w:rPr>
        <w:t>4.1.2. SAM</w:t>
      </w:r>
      <w:r w:rsidRPr="005E310B">
        <w:rPr>
          <w:rFonts w:eastAsia="Times New Roman" w:cs="Times New Roman"/>
          <w:szCs w:val="24"/>
          <w:lang w:eastAsia="lv-LV"/>
        </w:rPr>
        <w:t xml:space="preserve"> ietvaros </w:t>
      </w:r>
      <w:r w:rsidR="000F7B05">
        <w:rPr>
          <w:rFonts w:eastAsia="Times New Roman" w:cs="Times New Roman"/>
          <w:szCs w:val="24"/>
          <w:lang w:eastAsia="lv-LV"/>
        </w:rPr>
        <w:t xml:space="preserve">īstenojamo </w:t>
      </w:r>
      <w:r w:rsidRPr="005E310B">
        <w:rPr>
          <w:rFonts w:eastAsia="Times New Roman" w:cs="Times New Roman"/>
          <w:szCs w:val="24"/>
          <w:lang w:eastAsia="lv-LV"/>
        </w:rPr>
        <w:t>pasākumu īstenošanas izmaksas</w:t>
      </w:r>
      <w:r w:rsidRPr="005E310B">
        <w:rPr>
          <w:rFonts w:eastAsia="Times New Roman" w:cs="Times New Roman"/>
          <w:szCs w:val="24"/>
          <w:lang w:eastAsia="lv-LV"/>
        </w:rPr>
        <w:br/>
      </w:r>
      <w:r w:rsidRPr="005E310B">
        <w:rPr>
          <w:rFonts w:eastAsia="Times New Roman" w:cs="Times New Roman"/>
          <w:szCs w:val="24"/>
          <w:lang w:eastAsia="lv-LV"/>
        </w:rPr>
        <w:br/>
        <w:t xml:space="preserve">Balstoties uz šo datu analīzi ir secināms, ka </w:t>
      </w:r>
      <w:r w:rsidR="00803431">
        <w:rPr>
          <w:rFonts w:eastAsia="Times New Roman" w:cs="Times New Roman"/>
          <w:szCs w:val="24"/>
          <w:lang w:eastAsia="lv-LV"/>
        </w:rPr>
        <w:t>4.1.2. SAM</w:t>
      </w:r>
      <w:r w:rsidRPr="005E310B">
        <w:rPr>
          <w:rFonts w:eastAsia="Times New Roman" w:cs="Times New Roman"/>
          <w:szCs w:val="24"/>
          <w:lang w:eastAsia="lv-LV"/>
        </w:rPr>
        <w:t xml:space="preserve"> ietvaros plānotie pasākumi veicinās pozitīvo efektu uz sabiedrību kopumā </w:t>
      </w:r>
      <w:r w:rsidR="007C5664">
        <w:rPr>
          <w:rFonts w:eastAsia="Times New Roman" w:cs="Times New Roman"/>
          <w:szCs w:val="24"/>
          <w:lang w:eastAsia="lv-LV"/>
        </w:rPr>
        <w:t>94</w:t>
      </w:r>
      <w:r w:rsidRPr="005E310B">
        <w:rPr>
          <w:rFonts w:eastAsia="Times New Roman" w:cs="Times New Roman"/>
          <w:szCs w:val="24"/>
          <w:lang w:eastAsia="lv-LV"/>
        </w:rPr>
        <w:t>,</w:t>
      </w:r>
      <w:r w:rsidR="007C5664">
        <w:rPr>
          <w:rFonts w:eastAsia="Times New Roman" w:cs="Times New Roman"/>
          <w:szCs w:val="24"/>
          <w:lang w:eastAsia="lv-LV"/>
        </w:rPr>
        <w:t>5</w:t>
      </w:r>
      <w:r w:rsidRPr="005E310B">
        <w:rPr>
          <w:rFonts w:eastAsia="Times New Roman" w:cs="Times New Roman"/>
          <w:szCs w:val="24"/>
          <w:lang w:eastAsia="lv-LV"/>
        </w:rPr>
        <w:t xml:space="preserve"> milj. </w:t>
      </w:r>
      <w:r w:rsidRPr="005E310B">
        <w:rPr>
          <w:rFonts w:eastAsia="Times New Roman" w:cs="Times New Roman"/>
          <w:i/>
          <w:iCs/>
          <w:szCs w:val="24"/>
          <w:lang w:eastAsia="lv-LV"/>
        </w:rPr>
        <w:t>euro</w:t>
      </w:r>
      <w:r w:rsidRPr="005E310B">
        <w:rPr>
          <w:rFonts w:eastAsia="Times New Roman" w:cs="Times New Roman"/>
          <w:szCs w:val="24"/>
          <w:lang w:eastAsia="lv-LV"/>
        </w:rPr>
        <w:t xml:space="preserve"> vērtībā un kopējā atdeve no 2024. gada līdz 2029. gadam veiktajām investīcijām iedzīvotāju veselībā būs lielāka par novērtēto.</w:t>
      </w:r>
    </w:p>
    <w:p w14:paraId="5F180570" w14:textId="2539F3F2" w:rsidR="00D97BF1" w:rsidRDefault="00D97BF1" w:rsidP="00D97BF1">
      <w:pPr>
        <w:ind w:firstLine="0"/>
        <w:jc w:val="left"/>
        <w:rPr>
          <w:szCs w:val="24"/>
        </w:rPr>
      </w:pPr>
    </w:p>
    <w:p w14:paraId="4ED9C515" w14:textId="77777777" w:rsidR="005E310B" w:rsidRDefault="005E310B" w:rsidP="00D97BF1">
      <w:pPr>
        <w:ind w:firstLine="0"/>
        <w:jc w:val="left"/>
        <w:rPr>
          <w:szCs w:val="24"/>
        </w:rPr>
      </w:pPr>
    </w:p>
    <w:p w14:paraId="788310CA" w14:textId="77777777" w:rsidR="005E310B" w:rsidRDefault="005E310B" w:rsidP="00D97BF1">
      <w:pPr>
        <w:ind w:firstLine="0"/>
        <w:jc w:val="left"/>
        <w:rPr>
          <w:szCs w:val="24"/>
        </w:rPr>
      </w:pPr>
    </w:p>
    <w:p w14:paraId="39047F7A" w14:textId="77777777" w:rsidR="005E310B" w:rsidRDefault="005E310B" w:rsidP="00D97BF1">
      <w:pPr>
        <w:ind w:firstLine="0"/>
        <w:jc w:val="left"/>
        <w:rPr>
          <w:szCs w:val="24"/>
        </w:rPr>
      </w:pPr>
    </w:p>
    <w:p w14:paraId="6AE73101" w14:textId="77777777" w:rsidR="005E310B" w:rsidRDefault="005E310B" w:rsidP="00D97BF1">
      <w:pPr>
        <w:ind w:firstLine="0"/>
        <w:jc w:val="left"/>
        <w:rPr>
          <w:szCs w:val="24"/>
        </w:rPr>
      </w:pPr>
    </w:p>
    <w:p w14:paraId="03D7D2BF" w14:textId="77777777" w:rsidR="009C7DCB" w:rsidRPr="001A521D" w:rsidRDefault="009C7DCB" w:rsidP="009C7DCB">
      <w:pPr>
        <w:rPr>
          <w:szCs w:val="24"/>
        </w:rPr>
      </w:pPr>
    </w:p>
    <w:sectPr w:rsidR="009C7DCB" w:rsidRPr="001A521D" w:rsidSect="003F620F">
      <w:pgSz w:w="11906" w:h="16838"/>
      <w:pgMar w:top="1133" w:right="847" w:bottom="1132" w:left="170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9AB9E" w14:textId="77777777" w:rsidR="001A521D" w:rsidRDefault="001A521D" w:rsidP="003F620F">
      <w:r>
        <w:separator/>
      </w:r>
    </w:p>
  </w:endnote>
  <w:endnote w:type="continuationSeparator" w:id="0">
    <w:p w14:paraId="26E920A8" w14:textId="77777777" w:rsidR="001A521D" w:rsidRDefault="001A521D" w:rsidP="003F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NewRoman">
    <w:altName w:val="Klee One"/>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F769" w14:textId="77777777" w:rsidR="001A521D" w:rsidRDefault="001A521D" w:rsidP="003F620F">
      <w:r>
        <w:separator/>
      </w:r>
    </w:p>
  </w:footnote>
  <w:footnote w:type="continuationSeparator" w:id="0">
    <w:p w14:paraId="6DDE259F" w14:textId="77777777" w:rsidR="001A521D" w:rsidRDefault="001A521D" w:rsidP="003F620F">
      <w:r>
        <w:continuationSeparator/>
      </w:r>
    </w:p>
  </w:footnote>
  <w:footnote w:id="1">
    <w:p w14:paraId="00140A9F" w14:textId="7A6E9F6D" w:rsidR="005E310B" w:rsidRPr="0079395C" w:rsidRDefault="005E310B" w:rsidP="005E310B">
      <w:pPr>
        <w:rPr>
          <w:sz w:val="16"/>
          <w:szCs w:val="16"/>
        </w:rPr>
      </w:pPr>
      <w:r w:rsidRPr="0079395C">
        <w:rPr>
          <w:rStyle w:val="FootnoteReference"/>
          <w:sz w:val="16"/>
          <w:szCs w:val="16"/>
        </w:rPr>
        <w:footnoteRef/>
      </w:r>
      <w:r>
        <w:rPr>
          <w:sz w:val="16"/>
          <w:szCs w:val="16"/>
        </w:rPr>
        <w:t xml:space="preserve"> </w:t>
      </w:r>
      <w:r w:rsidRPr="005E310B">
        <w:rPr>
          <w:sz w:val="20"/>
          <w:szCs w:val="20"/>
        </w:rPr>
        <w:t>Centrālās statistikas pārvaldes datu avots https://data.stat.gov.lv/pxweb/lv/OSP_PUB/START__VES__IV__IVP/IVP030/table/tableViewLayout1/</w:t>
      </w:r>
    </w:p>
  </w:footnote>
  <w:footnote w:id="2">
    <w:p w14:paraId="701B65F3" w14:textId="0A689EED" w:rsidR="005E310B" w:rsidRPr="0079395C" w:rsidRDefault="005E310B" w:rsidP="005E310B">
      <w:pPr>
        <w:rPr>
          <w:sz w:val="16"/>
          <w:szCs w:val="16"/>
        </w:rPr>
      </w:pPr>
      <w:r w:rsidRPr="0079395C">
        <w:rPr>
          <w:rStyle w:val="FootnoteReference"/>
          <w:sz w:val="16"/>
          <w:szCs w:val="16"/>
        </w:rPr>
        <w:footnoteRef/>
      </w:r>
      <w:r>
        <w:rPr>
          <w:sz w:val="16"/>
          <w:szCs w:val="16"/>
        </w:rPr>
        <w:t xml:space="preserve"> </w:t>
      </w:r>
      <w:r w:rsidRPr="005E310B">
        <w:rPr>
          <w:sz w:val="20"/>
          <w:szCs w:val="20"/>
        </w:rPr>
        <w:t>Centrālās statistikas pārvaldes datu avots https://data.stat.gov.lv/pxweb/lv/OSP_PUB/START__POP__IR__IRS/IRS010/table/tableViewLayout1/</w:t>
      </w:r>
    </w:p>
  </w:footnote>
  <w:footnote w:id="3">
    <w:p w14:paraId="5A425259" w14:textId="612FE4FC" w:rsidR="005E310B" w:rsidRPr="0079395C" w:rsidRDefault="005E310B" w:rsidP="005E310B">
      <w:pPr>
        <w:rPr>
          <w:sz w:val="16"/>
          <w:szCs w:val="16"/>
        </w:rPr>
      </w:pPr>
      <w:r w:rsidRPr="0079395C">
        <w:rPr>
          <w:rStyle w:val="FootnoteReference"/>
          <w:sz w:val="16"/>
          <w:szCs w:val="16"/>
        </w:rPr>
        <w:footnoteRef/>
      </w:r>
      <w:r>
        <w:rPr>
          <w:sz w:val="16"/>
          <w:szCs w:val="16"/>
        </w:rPr>
        <w:t xml:space="preserve"> </w:t>
      </w:r>
      <w:r w:rsidRPr="005E310B">
        <w:rPr>
          <w:sz w:val="20"/>
          <w:szCs w:val="20"/>
        </w:rPr>
        <w:t>Centrālās statistikas pārvaldes datu avots https://data.stat.gov.lv/pxweb/lv/OSP_PUB/START__EMP__DS__DSV/DSV010m/table/tableViewLayout1/</w:t>
      </w:r>
    </w:p>
  </w:footnote>
  <w:footnote w:id="4">
    <w:p w14:paraId="1C2BC42D" w14:textId="348B44D8" w:rsidR="005E310B" w:rsidRPr="0079395C" w:rsidRDefault="005E310B" w:rsidP="005E310B">
      <w:pPr>
        <w:rPr>
          <w:sz w:val="16"/>
          <w:szCs w:val="16"/>
        </w:rPr>
      </w:pPr>
      <w:r w:rsidRPr="0079395C">
        <w:rPr>
          <w:rStyle w:val="FootnoteReference"/>
          <w:sz w:val="16"/>
          <w:szCs w:val="16"/>
        </w:rPr>
        <w:footnoteRef/>
      </w:r>
      <w:r>
        <w:rPr>
          <w:sz w:val="16"/>
          <w:szCs w:val="16"/>
        </w:rPr>
        <w:t xml:space="preserve"> </w:t>
      </w:r>
      <w:r w:rsidRPr="005E310B">
        <w:rPr>
          <w:sz w:val="20"/>
          <w:szCs w:val="20"/>
        </w:rPr>
        <w:t>Centrālās statistikas pārvaldes datu avots https://data.stat.gov.lv/pxweb/lv/OSP_PUB/START__VES__PP__PPI/PPI020/table/tableViewLayout1/</w:t>
      </w:r>
    </w:p>
  </w:footnote>
  <w:footnote w:id="5">
    <w:p w14:paraId="52053C08" w14:textId="4CE4D65F" w:rsidR="005E310B" w:rsidRPr="0079395C" w:rsidRDefault="005E310B" w:rsidP="005E310B">
      <w:pPr>
        <w:rPr>
          <w:sz w:val="16"/>
          <w:szCs w:val="16"/>
        </w:rPr>
      </w:pPr>
      <w:r w:rsidRPr="0079395C">
        <w:rPr>
          <w:rStyle w:val="FootnoteReference"/>
          <w:sz w:val="16"/>
          <w:szCs w:val="16"/>
        </w:rPr>
        <w:footnoteRef/>
      </w:r>
      <w:r>
        <w:rPr>
          <w:sz w:val="16"/>
          <w:szCs w:val="16"/>
        </w:rPr>
        <w:t xml:space="preserve"> </w:t>
      </w:r>
      <w:r w:rsidRPr="005E310B">
        <w:rPr>
          <w:sz w:val="20"/>
          <w:szCs w:val="20"/>
        </w:rPr>
        <w:t>Centrālās statistikas pārvaldes datu avots https://data.stat.gov.lv/pxweb/lv/OSP_PUB/START__VES__VA__VAI/VAI010/table/tableViewLayout1/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1D"/>
    <w:rsid w:val="000F7B05"/>
    <w:rsid w:val="00126D92"/>
    <w:rsid w:val="001901F0"/>
    <w:rsid w:val="001A521D"/>
    <w:rsid w:val="00237F1D"/>
    <w:rsid w:val="002E17ED"/>
    <w:rsid w:val="003F620F"/>
    <w:rsid w:val="00517ECD"/>
    <w:rsid w:val="00560D3C"/>
    <w:rsid w:val="005C079B"/>
    <w:rsid w:val="005E310B"/>
    <w:rsid w:val="00604D4A"/>
    <w:rsid w:val="00780A3F"/>
    <w:rsid w:val="0078414E"/>
    <w:rsid w:val="007C5664"/>
    <w:rsid w:val="00803431"/>
    <w:rsid w:val="009C7DCB"/>
    <w:rsid w:val="00A23706"/>
    <w:rsid w:val="00A53F2A"/>
    <w:rsid w:val="00AC3E7D"/>
    <w:rsid w:val="00AD4D0A"/>
    <w:rsid w:val="00AF0047"/>
    <w:rsid w:val="00B91394"/>
    <w:rsid w:val="00D16E3F"/>
    <w:rsid w:val="00D33E19"/>
    <w:rsid w:val="00D97BF1"/>
    <w:rsid w:val="00FB2E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CBE08"/>
  <w15:chartTrackingRefBased/>
  <w15:docId w15:val="{4F8C2F72-E17A-4686-B475-CF9C9CC1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before="4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20F"/>
    <w:pPr>
      <w:spacing w:before="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620F"/>
    <w:pPr>
      <w:tabs>
        <w:tab w:val="center" w:pos="4153"/>
        <w:tab w:val="right" w:pos="8306"/>
      </w:tabs>
    </w:pPr>
  </w:style>
  <w:style w:type="character" w:customStyle="1" w:styleId="HeaderChar">
    <w:name w:val="Header Char"/>
    <w:basedOn w:val="DefaultParagraphFont"/>
    <w:link w:val="Header"/>
    <w:uiPriority w:val="99"/>
    <w:rsid w:val="003F620F"/>
    <w:rPr>
      <w:rFonts w:ascii="Times New Roman" w:hAnsi="Times New Roman"/>
      <w:sz w:val="24"/>
    </w:rPr>
  </w:style>
  <w:style w:type="paragraph" w:styleId="Footer">
    <w:name w:val="footer"/>
    <w:basedOn w:val="Normal"/>
    <w:link w:val="FooterChar"/>
    <w:uiPriority w:val="99"/>
    <w:unhideWhenUsed/>
    <w:rsid w:val="003F620F"/>
    <w:pPr>
      <w:tabs>
        <w:tab w:val="center" w:pos="4153"/>
        <w:tab w:val="right" w:pos="8306"/>
      </w:tabs>
    </w:pPr>
  </w:style>
  <w:style w:type="character" w:customStyle="1" w:styleId="FooterChar">
    <w:name w:val="Footer Char"/>
    <w:basedOn w:val="DefaultParagraphFont"/>
    <w:link w:val="Footer"/>
    <w:uiPriority w:val="99"/>
    <w:rsid w:val="003F620F"/>
    <w:rPr>
      <w:rFonts w:ascii="Times New Roman" w:hAnsi="Times New Roman"/>
      <w:sz w:val="24"/>
    </w:rPr>
  </w:style>
  <w:style w:type="character" w:customStyle="1" w:styleId="scayt-misspell-word">
    <w:name w:val="scayt-misspell-word"/>
    <w:basedOn w:val="DefaultParagraphFont"/>
    <w:rsid w:val="005E310B"/>
  </w:style>
  <w:style w:type="character" w:styleId="Emphasis">
    <w:name w:val="Emphasis"/>
    <w:basedOn w:val="DefaultParagraphFont"/>
    <w:uiPriority w:val="20"/>
    <w:qFormat/>
    <w:rsid w:val="005E310B"/>
    <w:rPr>
      <w:i/>
      <w:iCs/>
    </w:rPr>
  </w:style>
  <w:style w:type="character" w:styleId="Strong">
    <w:name w:val="Strong"/>
    <w:basedOn w:val="DefaultParagraphFont"/>
    <w:uiPriority w:val="22"/>
    <w:qFormat/>
    <w:rsid w:val="005E310B"/>
    <w:rPr>
      <w:b/>
      <w:bCs/>
    </w:rPr>
  </w:style>
  <w:style w:type="character" w:styleId="FootnoteReference">
    <w:name w:val="footnote reference"/>
    <w:aliases w:val="Footnote Reference Number,Footnote symbol,ftref"/>
    <w:uiPriority w:val="99"/>
    <w:unhideWhenUsed/>
    <w:rsid w:val="005E31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377406">
      <w:bodyDiv w:val="1"/>
      <w:marLeft w:val="0"/>
      <w:marRight w:val="0"/>
      <w:marTop w:val="0"/>
      <w:marBottom w:val="0"/>
      <w:divBdr>
        <w:top w:val="none" w:sz="0" w:space="0" w:color="auto"/>
        <w:left w:val="none" w:sz="0" w:space="0" w:color="auto"/>
        <w:bottom w:val="none" w:sz="0" w:space="0" w:color="auto"/>
        <w:right w:val="none" w:sz="0" w:space="0" w:color="auto"/>
      </w:divBdr>
    </w:div>
    <w:div w:id="927076186">
      <w:bodyDiv w:val="1"/>
      <w:marLeft w:val="0"/>
      <w:marRight w:val="0"/>
      <w:marTop w:val="0"/>
      <w:marBottom w:val="0"/>
      <w:divBdr>
        <w:top w:val="none" w:sz="0" w:space="0" w:color="auto"/>
        <w:left w:val="none" w:sz="0" w:space="0" w:color="auto"/>
        <w:bottom w:val="none" w:sz="0" w:space="0" w:color="auto"/>
        <w:right w:val="none" w:sz="0" w:space="0" w:color="auto"/>
      </w:divBdr>
    </w:div>
    <w:div w:id="12175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AFC4B9EC9CCB458784C8338F95B026" ma:contentTypeVersion="11" ma:contentTypeDescription="Create a new document." ma:contentTypeScope="" ma:versionID="496eb2ae9b243584b39f1d0b95f32110">
  <xsd:schema xmlns:xsd="http://www.w3.org/2001/XMLSchema" xmlns:xs="http://www.w3.org/2001/XMLSchema" xmlns:p="http://schemas.microsoft.com/office/2006/metadata/properties" xmlns:ns2="b1cfdd35-5ce4-41ae-a47b-b21cd7b14d22" xmlns:ns3="102829ed-d2aa-41be-8915-101300bb82a1" targetNamespace="http://schemas.microsoft.com/office/2006/metadata/properties" ma:root="true" ma:fieldsID="fed8ec18bc311ccbfdf373fb74143786" ns2:_="" ns3:_="">
    <xsd:import namespace="b1cfdd35-5ce4-41ae-a47b-b21cd7b14d22"/>
    <xsd:import namespace="102829ed-d2aa-41be-8915-101300bb82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cfdd35-5ce4-41ae-a47b-b21cd7b14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2829ed-d2aa-41be-8915-101300bb82a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994A-0B08-4782-BFF3-0CB2483B3809}">
  <ds:schemaRefs>
    <ds:schemaRef ds:uri="http://schemas.microsoft.com/sharepoint/v3/contenttype/forms"/>
  </ds:schemaRefs>
</ds:datastoreItem>
</file>

<file path=customXml/itemProps2.xml><?xml version="1.0" encoding="utf-8"?>
<ds:datastoreItem xmlns:ds="http://schemas.openxmlformats.org/officeDocument/2006/customXml" ds:itemID="{CF84B86A-456C-4FE2-9CB5-8DA47574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cfdd35-5ce4-41ae-a47b-b21cd7b14d22"/>
    <ds:schemaRef ds:uri="102829ed-d2aa-41be-8915-101300bb8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8DD76-C891-4A42-AFA3-91DB670A1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8924</Words>
  <Characters>5087</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Jūlija Grabovska</dc:creator>
  <cp:keywords/>
  <dc:description/>
  <cp:lastModifiedBy>Jūlija Grabovska</cp:lastModifiedBy>
  <cp:revision>5</cp:revision>
  <dcterms:created xsi:type="dcterms:W3CDTF">2023-11-02T15:11:00Z</dcterms:created>
  <dcterms:modified xsi:type="dcterms:W3CDTF">2023-11-03T07:01:00Z</dcterms:modified>
</cp:coreProperties>
</file>