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"Eiropas Savienības kohēzijas politikas programmas 2021.–2027. gadam 4.1.2. specifiskā atbalsta mērķa "Uzlabot vienlīdzīgu un savlaicīgu piekļuvi kvalitatīviem, ilgtspējīgiem un izmaksu ziņā pieejamiem veselības aprūpes, veselības veicināšanas un slimību profilakses pakalpojumiem, uzlabojot veselības aprūpes sistēmu efektivitāti un izturētspēju" 4.1.2.7. pasākuma "Pilnveidot pacientu drošību un aprūpes kvalitāti" īstenošanas noteikumi"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2021. gada 24 .jūnija Regula (ES)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Nr.2021/1060) un Eiropas Savienības fondu 2021. — 2027. gada plānošanas perioda vadības likuma 19. panta 6. un 13.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izstrādāts saskaņā ar Eiropas Savienības fondu 2021. — 2027. gada plānošanas perioda vadības likuma 19. panta 6. un 13. punktu. Pasākuma mērķis ir pilnveidot pacientu drošību un aprūpes kvalitāti kvalitatīvai veselības aprūpes pakalpojuma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 ir viena no prioritārajām pakalpojumu jomām valstī. Tās ietekme uz sabiedrību, valsts demogrāfisko situāciju un attīstību, kā arī katru indivīdu atsevišķi ir ļoti liela. Veselības aprūpes attīstība rada aizvien jaunas iespējas glābt cilvēka dzīvību un saglabāt dzīves kvalitāti, taču vienlaikus, tai kļūstot arvien sarežģītākai, ārstniecības laikā pieaug nevēlamu notikumu risks. Šī iemesla dēļ veselības aprūpe tiek uzskatīta par augsta riska nozari.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Riski un dinamika ir noteicošie faktori pilnīgi drošas veselības aprūpes neiespējamībai. Pacientu drošība atbilstoši Pasaules Veselības organizācijas definīcijai ir nevajadzīgā, ar veselības aprūpi saistītā kaitējuma riska samazināšana līdz pieļaujamam minimumam (WHO-ICPS, 2009)</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Pacientu drošība raksturo, cik lielā mērā veselības aprūpes procesi un pārvaldības sistēma nepieļauj vai novērš nevēlamus rezultātus, kas rodas vai var rasties veselības aprūpes procesā. Drošības galvenais mērķis – nenodarīt kaitējumu pacientam</w:t>
      </w:r>
      <w:r w:rsidR="00000000" w:rsidRPr="00000000" w:rsidDel="00000000">
        <w:rPr>
          <w:vertAlign w:val="superscript"/>
          <w:rtl w:val="0"/>
        </w:rPr>
        <w:t xml:space="preserve">[2]</w:t>
      </w:r>
      <w:r w:rsidR="00000000" w:rsidRPr="00000000" w:rsidDel="00000000">
        <w:rPr>
          <w:rtl w:val="0"/>
        </w:rPr>
        <w:t xml:space="preserve">. Nepietiekama pacientu drošība ir gan nopietna sabiedrības veselības problēma, gan liels ekonomisks slogs ierobežotajiem veselības aprūpes resursiem. Ekonomiskās Sadarbības un Attīstības organizācija (OECD) akcentē, ka daudzus nevēlamus notikumus var sistēmiski novērst ar labāku politiku, labāku izmaksu praksi, lai izmaksas būtu zemākas par kaitējuma izmaksām. Tāpēc nacionālajā līmenī, kur resursi ir ierobežoti, vajadzētu īstenot aktivitātes, kurām ir visaugstākā pievienotā vērtība, investējot sistēmas līmeņa iniciatīvās, piemēram, profesionāļu izglītībā un apmācībā, drošības standartos un pamata informācijas infrastruktūrā.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 no svarīgākajiem rīkiem mērķtiecīgai pacientu drošības un ārstniecības kvalitātes nodrošināšanai ir klīnisko vadlīniju, klīnisko algoritmu, klīnisko ceļu un kvalitātes indikatoru lietošanas sistēmas izveide un ieviešana. Līdz šim ir izstrādāti klīniskie algoritmi, pacientu ceļi un kvalitātes indikatori vairākās veselības jomās. Dokumentus izstrādājuši Latvijas vadošie jomas speciālisti, balstoties uz pasaulē pielietotām starptautiski atzītu organizāciju aprobētām klīniskajām vadlīnijām, pielāgojot tajās ietvertos ieteikumus Latvijas situācijai. Izstrādātie klīniskie algoritmi un klīniskie ceļi paredzēti, lai veicinātu ārstniecības personu vienotu rīcību, sniegtu atbalstu lēmumu pieņemšanā, tā rezultātā nodrošinot pacientam kvalitatīvus un drošus veselības aprūpes pakalpojumus. Toties, ņemot vērā straujo tehnoloģiju, inovāciju un mācīšanās metožu attīstību, būtiski turpināt to ieviešanu un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nozīmīgs kvalitātes faktors ir ārstniecības personu kompetence pacientu drošības un veselības aprūpes kvalitātes vadības jautājumos. Līdz šim īstenotie pasākumi minētajā jomā ir veicinājuši profesionālo izaugsmi kvalitātes nodrošināšanā, tomēr, lai sekmētu pacientu drošības procedūru un vadlīniju vienveidīgu piemērošanu visā valstī, nepieciešams nodrošināt veselības aprūpes personāla zināšanu un prasmju pilnveides pasākumus pacientu drošības un veselības aprūpes kvalitātes vadības jautājumos, jo nozarē strādājošo prasmju atbilstība veselības aprūpes politikai un stratēģijai ir būtisks nosacījums kvalitatīvu un drošu veselības aprūpes pakalpojumu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darbiniekiem, kurš nav atbilstoši apmācīts vai iepazīstināts ar procedūrām vai vadlīnijām, var rasties grūtības veikt savus pienākumus. Sarežģītāku pienākumu veikšana, īpaši ārpus kompetences robežām vai tad, ja ir liela darba slodze, var radīt problēmas, īpaši jaunajiem darbiniekiem. Darbinieki savas nepietiekamās pieredzes dēļ var nenovērtēt vai pārvērtēt savu kompetences līmeni konkrētu pienākumu veikšanā, un šī ir īpaši bīstama situācija, kurā ļoti viegli var kļūdīties. Izglītībai un praktiskajai apmācībai ir izšķiroša nozīme cīņā par pacientu drošības uzlabošanu. Darbiniekiem ir jāizprot darba vietā pastāvošās galvenās pacientu drošības procedūras. Praktizējošiem darbiniekiem, lai tie varētu turpināt droši strādāt, jāattīsta programmas prasmju pilnveidošanai.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sekmīgai ārstēšanas procesa nodrošināšanai un veselības aprūpes kvalitātes nodrošināšanai būtisks aspekts ir pacientu iesaiste, zināšanas un apmierinātība ar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Pētījuma par pacientu apmierinātību ar veselības aprūpes pakalpojumu kvalitāti</w:t>
      </w:r>
      <w:r w:rsidR="00000000" w:rsidRPr="00000000" w:rsidDel="00000000">
        <w:rPr>
          <w:vertAlign w:val="superscript"/>
          <w:rtl w:val="0"/>
        </w:rPr>
        <w:t xml:space="preserve">[3]</w:t>
      </w:r>
      <w:r w:rsidR="00000000" w:rsidRPr="00000000" w:rsidDel="00000000">
        <w:rPr>
          <w:rtl w:val="0"/>
        </w:rPr>
        <w:t xml:space="preserve"> 2018. gada aptaujas dati liecina, ka tikai trešdaļa respondentu zinātu, tai skaitā "drīzāk zinātu", kur ziņot par nekvalitatīvu pakalpojumu un tikpat daudzi – kur meklēt informāciju, lai pakalpojumu saņemtu iespējami drīz. Kā īpaša grupa pakalpojumiem ārpus ģimenes ārsta prakses minami jaunieši, kuriem ir kopumā sliktākas zināšanas par veselības aprūpes sistēmu un pakalpojumu saņemšanas iespējām, kas norāda uz nepietiekamu ar veselību saistītu zināšanu iekļaušanu izglītības procesā. Kopumā 57% respondentu (jauniešu) norāda, ka zina, kā atrast šo informāciju (21% atbild "jā", bet 36% – "drīzāk jā"). Šīs zināšanas sniedzamas caur trim kanāliem – izglītības sistēmu (kopumā zināšanas par pacientu tiesībām sabiedrībā ir zemas un pedagogi mērķtiecīgi jāizglīto šajos jautājumos), pacientu tiesību ombudu (ja tāds tiek izveidots) un ģimenes ārstu praksēm, kur jaunieši ir vislabāk integrēti. Jauniešiem ir arī zemāka apmierinātība ar saņemtajiem pakalpojumiem ārpus ģimenes ārsta prakses. Attiecībā uz zināšanām par veselības aprūpes sistēmu un pakalpojumu saņemšanas iespējām izceļamas respondentu atbildes – vecuma grupā 55-64 gadi 52%, bet vecuma grupā 65-74 gadi vien 42% norāda, ka zina, kur meklēt informāciju. Zināšanas par valsts veselības aprūpes pakalpojumu pieejamību, iespējām tās pilnvērtīgi izmantot un no ārstiem saņemtās veselības informācijas piemērotības pacientu vajadzībām vērtējums saistīti arī ar ienākumu nevienlīdzību, dzimumu nelīdztiesību (vīrieši kopumā savas zināšanas par pacientu tiesībām vērtē kā sliktākas), izglītības līmeni un veselības stāvokļa pašvērtējumu, kas liek šķēršļus valsts piedāvātu veselības aprūpes pakalpojumu pilnvērtīgai izmantošanai tām grupām, kuras atrodas salīdzinoši sliktākā sociāli ekonomiskajā pozīcijā.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Kopumā secināms, ka iedzīvotājiem ir nepietiekamas zināšanas par savām tiesībām par valsts apmaksātiem veselības aprūpes pakalpojumiem, un nespēja tās aizstāvēt pārkāpumu gadījumos. Īpaši jutīgi šai ziņā ir vecāka gadagājuma iedzīvotāji, iedzīvotāji ar zemiem ienākumiem, zemāku izglītības līmeni, sliktāku veselību un tādiem veselības traucējumiem, kas apgrūtina ikdienas dzīvi</w:t>
      </w:r>
      <w:r w:rsidR="00000000" w:rsidRPr="00000000" w:rsidDel="00000000">
        <w:rPr>
          <w:vertAlign w:val="super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veselības aprūpes kvalitātes uzlabošanā, tostarp pacientu drošības sekmēšanā, liela nozīme ir pacientu aprūpes nepārtrauktības un aprūpes kvalitātes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Būtiski, lai personas veselības aprūpe tiek organizēta tā, lai tā atbilstu indivīda vajadzībām, integrētu vairāku sektoru sadarbību un nodrošinātu tās nepārtrauktību. Aprūpes nepārtrauktībā būtiska loma ir sadarbībai starp speciālistiem, kā arī primārajai veselības aprūpei, kas nodrošina pastāvīgu indivīda veselības aprūpi un tās koordinēšanu visa mūža garumā. Veselības aprūpes nepārtrauktību nodrošina pakalpojumu organizēšana, ievērojot to funkcionālo savietojamību, saskaņotību un nodrošinot komunikācijas kanālus starp speciālistiem. Integrētās aprūpes koncepcija ietver arī saskaņotu darbību starp veselības aprūpes un sociālās aprūpes resoru, tai skaitā, sociālo pakalpojumu sniedzējiem, pašvaldību sociālajiem dienestiem, kā arī sadarbību ar citu nozaru ekspertiem un speciālistiem, piemēram izglītības iestādēm u.tml. Sekmīgas šāda modeļa ieviešanas priekšnosacījums ir sociālās aprūpes jomas partneru iesaiste un izpratne, vienpusējas iniciatīvas gadījumā netiks sasniegts mērķis</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Aprūpes nepārtrauktības nodrošināšanai tiks īstenoti pasākumi, kas veicinās veselības jomas speciālistu sagatavošanu un uzlabos sadarbību starp speciālistiem pacienta veselības aprūpē dažādos ārstēšanas posmos.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WHO. The Conceptual Framework for the International Classification for Patient Safety; 2009. https://www.who.int/publications/i/item/WHO-IER-PSP-2010.2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materiāls. Pacientu drošības un veselības aprūpes kvalitātes nodrošināšana. ESF līdzfinansētā projekta Nr. 9.2.3.0/15/I/001 "Veselības tīklu attīstības vadlīniju un kvalitātes nodrošināšanas sistēmas izstrāde un ieviešana prioritāro veselības jomu ietvaros". Rīgas Stradiņa universitāte 2017. Pieejams: https://www.spkc.gov.lv/lv/publikacijas/pacientu_drobas_un_veselbas_aprpes_kvalittes_nodroinana._mcbu_materils_20171.pdf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A.Putniņa, M.Brants “Pētījums par pacientu apmierinātību ar veselības aprūpes pakalpojumu kvalitāti”, 2018. https://www.vmnvd.gov.lv/lv/media/272/download?attachment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Sabiedrības veselības pamatnostādnes 2021.-2027.gadam; https://likumi.lv/ta/id/332751-sabiedribas-veselibas-pamatnostadnes-2021-2027-gadam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Sabiedrības veselības pamatnostādnes 2021.-2027.gadam; https://likumi.lv/ta/id/332751-sabiedribas-veselibas-pamatnostadnes-2021-2027-gadam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nosaka kārtību, kādā tiks īstenots Eiropas Savienības Kohēzijas politikas programmas 2021. – 2027. gadam 4.1.2. specifiskā atbalsta mērķa "Uzlabot vienlīdzīgu un savlaicīgu piekļuvi kvalitatīviem, ilgtspējīgiem un izmaksu ziņā pieejamiem veselības aprūpes, veselības veicināšanas un slimību profilakses pakalpojumiem, uzlabojot veselības aprūpes sistēmu efektivitāti un izturētspēju" 4.1.2.7. pasākums "Pilnveidot pacientu drošību un aprūpes kvalitāti" īstenošanas noteikumi" (turpmāk – pasākums).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plānotais un pieejamais kopējais finansējums ir 3 045 000 </w:t>
      </w:r>
      <w:r w:rsidR="00000000" w:rsidRPr="00000000" w:rsidDel="00000000">
        <w:rPr>
          <w:i w:val="1"/>
          <w:rtl w:val="0"/>
        </w:rPr>
        <w:t xml:space="preserve">euro</w:t>
      </w:r>
      <w:r w:rsidR="00000000" w:rsidRPr="00000000" w:rsidDel="00000000">
        <w:rPr>
          <w:rtl w:val="0"/>
        </w:rPr>
        <w:t xml:space="preserve">, tai skaitā Eiropas Sociālā fonda Plus (turpmāk – ESF Plus) finansējums – 2 588 250 </w:t>
      </w:r>
      <w:r w:rsidR="00000000" w:rsidRPr="00000000" w:rsidDel="00000000">
        <w:rPr>
          <w:i w:val="1"/>
          <w:rtl w:val="0"/>
        </w:rPr>
        <w:t xml:space="preserve">euro</w:t>
      </w:r>
      <w:r w:rsidR="00000000" w:rsidRPr="00000000" w:rsidDel="00000000">
        <w:rPr>
          <w:rtl w:val="0"/>
        </w:rPr>
        <w:t xml:space="preserve"> un valsts budžeta līdzfinansējums – 456 750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ES Savienības Kohēzijas politikas programmai 2021.–2027. gadam pasākuma finansējuma sadalījums pa intervences kodiem ir sekojošs: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intervences kategorijā “Intervences laukums”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160 “Pasākumi veselības aprūpes sistēmas pieejamības, efektivitātes un noturības uzlabošanai (izņemot infrastruktūru)” – ESF Plus finansējums 2 588 250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intervences kategorijā “Finansējuma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1 “Dotācija” - ESF Plus finansējums 2 588 250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intervences kategorijā “Teritoriālie sasniegšanas mehānismi”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33 “Bez teritoriālā mērķa” - ESF PLus finansējums 2 588 250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intervences kategorijā “ESF+ sekundārās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10 “Eiropas pusgadā apzināto problēmu risināšana” - ESF Plus finansējums 2 588 250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intervences kategorijā “Dzimumu līdztiesība”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2 “Dzimumu līdztiesības aspekta integrēšana” - ESF Plus finansējums 2 588 250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regulas Nr. 2021/1060 18. un 86.pantā noteikto 4.1.2. specifiskā atbalsta mērķa elastības finansējums ir noteikts 4.1.2.1. pasākuma “Nacionālā mēroga veselības veicināšanas un slimību profilakses pasākumi” (turpmāk - 4.1.2.1. pasākums) un 4.1.2.6. “Uzlabot izglītības iespējas ārstniecības personām, t.sk. uzlabojot tālākizglītības pieejamību” pasākuma (turpmāk - 4.1.2.6. pasākums) ietvaros. Attiecīgi 4.1.2.1. un 4.1.2.6. pasākumam ir noteikts pieejamais un plānotais finansējums. Atbildīgā iestāde, pēc Eiropas Komisijas lēmuma par vidusposma pārskata, var ierosināt palielināt 4.1.2.1. un 4.1.2.6. pasākumam pieejamo kopējo finansējumu līdz plānotajam kopējam finansējuma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57"/>
        <w:gridCol w:w="5334"/>
        <w:gridCol w:w="1518"/>
        <w:gridCol w:w="1529"/>
        <w:tblGridChange w:id="0">
          <w:tblGrid>
            <w:gridCol w:w="657"/>
            <w:gridCol w:w="5334"/>
            <w:gridCol w:w="1518"/>
            <w:gridCol w:w="152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Pasākuma Nr.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Pasākuma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ES fondu finansējums </w:t>
            </w:r>
            <w:r w:rsidR="00000000" w:rsidRPr="00000000" w:rsidDel="00000000">
              <w:rPr>
                <w:sz w:val="24"/>
                <w:rtl w:val="0"/>
              </w:rPr>
              <w:t xml:space="preserve">(ieskaitot elastības finansējumu), </w:t>
            </w:r>
            <w:r w:rsidR="00000000" w:rsidRPr="00000000" w:rsidDel="00000000">
              <w:rPr>
                <w:sz w:val="24"/>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ES fondu finansējums </w:t>
            </w:r>
            <w:r w:rsidR="00000000" w:rsidRPr="00000000" w:rsidDel="00000000">
              <w:rPr>
                <w:sz w:val="24"/>
                <w:rtl w:val="0"/>
              </w:rPr>
              <w:t xml:space="preserve">(BEZ elastības finansējuma), </w:t>
            </w:r>
            <w:r w:rsidR="00000000" w:rsidRPr="00000000" w:rsidDel="00000000">
              <w:rPr>
                <w:sz w:val="24"/>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Nacionāla mēroga veselības veicināšanas un slimību profilakses pasākumi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11 207 658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7 199 882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veicināšana un slimību profilakse pašvaldībās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12 575 937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12 575 937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Pasākumi atkarīgo personu resocializācijai un atgriešanai darba tirgū, kā arī preventīvie pasākumi jauniešiem (indikatīvi pasākuma ieviesējs – 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961 350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961 350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Pierādījumos balstītu narkotiku lietošanas profilakses programmu īstenošana un profilakses kvalitātes standartu ieviešana (indikatīvi pasākuma ieviesējs – Iekšlietu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443 700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443 700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Piesaistīt un noturēt ārstniecības personas darbam valsts apmaksāto veselības aprūpes pakalpojumu sektorā, īpaši stacionāros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5 686 755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5 686 755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Uzlabot izglītības iespējas ārstniecības personām, t.sk. uzlabojot tālākizglītības pieejamību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14 790 000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10 782 224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Pilnveidot pacientu drošību un aprūpes kvalitāti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2 588 250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2 588 250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Nevalstisko organizāciju iesaiste veselības veicināšanas un slimību profilakses pasākumu īstenošanā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2 550 000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2 550 000</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4.1.2. specifiskā atbalsta mērķa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50 803 650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42 788 098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projekta iesniedzējs un finansējuma saņēmējs ir vadošā valsts pārvaldes iestāde veselības nozarē, kas izstrādā, organizē un uzrauga valsts politiku sabiedrības veselības jomā - Veselības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iesaistoties projekta īstenošanā, nodrošina, lai funkcijas, kuras tas pilda projekta īstenošanā, tiktu nodalītas no pamatfunkciju izpildes un saimnieciskās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izmaksas ir attiecināmas, ja tās atbilst noteikumu projektā minētajām izmaksu pozīcijām un tās ir radušās ne agrāk par 2024.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Pasākuma mērķis </w:t>
      </w:r>
      <w:r w:rsidR="00000000" w:rsidRPr="00000000" w:rsidDel="00000000">
        <w:rPr>
          <w:rtl w:val="0"/>
        </w:rPr>
        <w:t xml:space="preserve">ir pilnveidot pacientu drošību un aprūpes kvalitāti kvalitatīvai veselības aprūpes pakalpojuma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Pasākuma mērķa grupa</w:t>
      </w:r>
      <w:r w:rsidR="00000000" w:rsidRPr="00000000" w:rsidDel="00000000">
        <w:rPr>
          <w:rtl w:val="0"/>
        </w:rPr>
        <w:t xml:space="preserve"> ir ārstniecības iestādes un visi Latvijas iedzīvotāji.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w:t>
      </w:r>
      <w:r w:rsidR="00000000" w:rsidRPr="00000000" w:rsidDel="00000000">
        <w:rPr>
          <w:b w:val="1"/>
          <w:rtl w:val="0"/>
        </w:rPr>
        <w:t xml:space="preserve">nacionālais rādītājs</w:t>
      </w:r>
      <w:r w:rsidR="00000000" w:rsidRPr="00000000" w:rsidDel="00000000">
        <w:rPr>
          <w:rtl w:val="0"/>
        </w:rPr>
        <w:t xml:space="preserve"> ir ārstniecības iestāžu skaits, kurās tiks pilnveidota pacientu drošība un aprūpes kvalitāte kvalitatīvai veselības aprūpes pakalpojuma nodrošināšanai – 41 ārstniecības iestāde. Rādītājā ietvertas tās ārstniecības iestādes, kuras minētas 2018.gada 28.augusta Ministru kabineta noteikumu Nr.555 “Veselības aprūpes pakalpojumu organizēšanas un samaksas kārtība” (turpmāk – MK noteikumi Nr.555) 6.pielikumā, kā arī tās ārstniecības iestādes, kuras MK noteikumu Nr.555 5.3.2.punktā noteiktajā kārtībā ir noslēgušas līgumus ar Nacionālo veselības dienestu par valsts apmaksāto veselības aprūpes pakalpojumu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Rādītājs tiks uzskatīts par sasniegtu pēc projekta pabeigšanas,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visās ārstniecības iestādēs par pacientu drošību un veselības aprūpi ir apmācīts personāls;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projekta ietvaros izstrādāto dokumentu (klīniskie kvalitātes indikatori, klīniskie pacientu ceļi un uz starptautiski atzītām vadlīnijām profesionāļu izstrādāti klīniskie algoritmi) saturs liecina, ka izstrādātajos dokumentos ietvertās tēmas kopumā aptver un ir paredzētas izmantošanai vismaz 41 ārstniecības iestādē. Katrs izstrādātais dokuments var būt paredzēts izmantošanai vairākās ārstniecības iestādēs atbilstoši profilam.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Specifiskā atbalsta projektu iesniegumu atlasi īsteno ierobežotas projektu iesniegumu atlases veidā. Centrālā finanšu un līgumu aģentūra kā sadarbības iestāde (turpmāk – sadarbības iestāde) pasākuma ietvaros organizē ierobežotu projektu iesniegumu atlasi vienu reizi pasākuma īstenošanas periodā.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Specifiskā atbalsta ietvaros atbildīgās iestādes funkcijas pilda Veselības ministrija (turpmāk – atbildīgā iestāde).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Specifiskā atbalsta ietvaros sadarbības iestādes funkcijas pilda un slēdz vienošanos par projekta īstenošanu sadarbības iestāde.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iestādei ir tiesības vienpusēji atkāpties no noslēgtās vienošanās par projekta īstenošanu jebkurā no šādiem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finansējuma saņēmējs nepilda vienošanos par projekta īstenošanu, tai skaitā netiek ievēroti projektā noteiktie termiņi vai ir iestājušies citi apstākļi, kas negatīvi ietekmē vai var ietekmēt pasākuma iznākuma un uzraudzības rādītāju sasniegšanu;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finansējuma saņēmējs apzināti ir sniedzis sadarbības iestādei nepatiesu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citos gadījumos, ko paredz vienošanās vai līgums par projekta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ietvarā ir atbalstāmas šādas atbalstāmās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projekta vadības un īstenošanas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klīnisko kvalitātes indikatoru, klīnisko pacientu ceļu un uz starptautiski atzītām vadlīnijām profesionāļu izstrādātu klīnisko algoritmu izstrāde, aktualizēšana, ieviešana un uzraudzība;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veselības aprūpes personāla zināšanu un prasmju pilnveidošana pacientu drošības un veselības aprūpes kvalitātes vadības jautājumos;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pacientu un veselības aprūpes personāla pieredzes uzlabošana par saņemtajiem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pacientu aprūpes nepārtrauktības un aprūpes kvalitātes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informācijas un publicitātes pasākumu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Administratīvā sloga mazināšanai projekta vadības un īstenošanas personāla izmaksu nodrošināšanai tiek piemērota personāla izmaksu likme divdesmit procentu apmērā no šo noteikumu 19.2 apakšpunktā minētajām pārējām tiešajām attiecināmajām izmaksām saskaņā ar regulas Nr. 2021/1060 55. panta 1. punktu.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Vienotās personāla izmaksu likmes aprēķins ir balstīts uz šādiem 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b w:val="1"/>
          <w:rtl w:val="0"/>
        </w:rPr>
        <w:t xml:space="preserve">tas ir taisnīgs</w:t>
      </w:r>
      <w:r w:rsidR="00000000" w:rsidRPr="00000000" w:rsidDel="00000000">
        <w:rPr>
          <w:rtl w:val="0"/>
        </w:rPr>
        <w:t xml:space="preserve"> – personāla izmaksu likmes apmērs tiks piemērots vienoti projekta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b w:val="1"/>
          <w:rtl w:val="0"/>
        </w:rPr>
        <w:t xml:space="preserve">tas ir objektīvs </w:t>
      </w:r>
      <w:r w:rsidR="00000000" w:rsidRPr="00000000" w:rsidDel="00000000">
        <w:rPr>
          <w:rtl w:val="0"/>
        </w:rPr>
        <w:t xml:space="preserve">– lai arī pasākums ir darbības programmas "Izaugsme un nodarbinātība" 9.2.3. specifiskā atbalsta mērķa "Atbalstīt prioritāro (sirds un asinsvadu, onkoloģijas, bērnu (sākot no perinatālā un neonatālā perioda) aprūpes un garīgās veselības) veselības jomu veselības tīklu attīstības vadlīniju un kvalitātes nodrošināšanas sistēmas izstrādi un ieviešanu, jo īpaši sociālās atstumtības un nabadzības riskam pakļauto iedzīvotāju veselības uzlabošanai" (turpmāk – 9.2.3. SAM) turpinājums ar līdzīgu mērķi, mērķa grupu un atbalstāmajām darbībām, tomēr 9.2.3. SAM esošais likmes apmērs projekta tiešajām vadības un īstenošanas personāla izmaksām tiek pārrēķināts, jo projekta īstenošanai izveidotās terminētās amata vietas, beidzoties projektam, beidz pastāvēt un tās nav pārveidojamas. Pasākuma īstenošanai ir veidojamas jaunas amata vietas, kuru klasifikācija attiecīgi ir saskaņota ar Valsts kancelejas izstrādāto atlīdzības reformu un 2023.gada 3.aprīļa Veselības ministrijas rīkojumu Nr.13-04/62 "Par Veselības ministrijas amatu un personāla sarakstu 2023.gada aprīlī", kas nosaka iestādes algu politiku par konkrētu darba veikšanu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b w:val="1"/>
          <w:rtl w:val="0"/>
        </w:rPr>
        <w:t xml:space="preserve">tas ir pārbaudāms</w:t>
      </w:r>
      <w:r w:rsidR="00000000" w:rsidRPr="00000000" w:rsidDel="00000000">
        <w:rPr>
          <w:rtl w:val="0"/>
        </w:rPr>
        <w:t xml:space="preserve"> – vienotās personāla izmaksu likmes aprēķins ir dokumentāli pierādāms un pārbaudāms, aprēķini ir pieejami Veselības ministrijas Investīciju un Eiropas Savienības fondu uzraudzības departamentā, kā arī Finanšu ministrijai kā vadošajai iestādei ir iesniegts vienotās likmes detalizētāks aprēķins ar slodžu atalgojuma atšifrējumiem;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b w:val="1"/>
          <w:rtl w:val="0"/>
        </w:rPr>
        <w:t xml:space="preserve">tas ir iepriekš noteikts</w:t>
      </w:r>
      <w:r w:rsidR="00000000" w:rsidRPr="00000000" w:rsidDel="00000000">
        <w:rPr>
          <w:rtl w:val="0"/>
        </w:rPr>
        <w:t xml:space="preserve"> – vienotās personāla izmaksu likmes piemērošanas nosacījumi ir noteikti noteikumu projekta 16. punktā.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personāla atlīdzības likmes piemērošanai starp pasākumu un 9.2.3. SAM nepastāv dubultā finansējuma risks, jo pasākums tiks īstenots pēc 9.2.3. SAM izdevumu attiecināmības perioda beigām, t.i. pēc 2023. gada 31. decembra.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projekta vadības un īstenošanas personāla izmaksas, kurām ir piemērota vienotā likme, ietver šādas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saņēmēja atlīdzības izmaksas par aktivitāšu koordinēšanu, projekta vadīšanu un uzraudzību, t.sk. līgumu uzraudzību, atskaišu sagatavošanu, dalībnieku datu apkopošanu, pasākumu laika grafiku sagatavošanu, grāmatvedības uzskaiti, komunikācijas ar uzraugošajām iestādēm nodrošināšanu, projekta darbību (apmācības, pētījumi, aptaujas, u.c.) iepirkumu tehnisko specifikāciju sagatavošanu, piedāvājumu izvērtēšanu, līgumu izpildes un nodevumu 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pārējās tiešās attiecināmās izmaksas, no kurām rēķina personāla atlīdzības izmaksu vienoto likmi, ir izmaksas, kas radušās, ievērojot publisko iepirkumu jomu regulējošos normatīvos aktus.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iepriekšminēto atbalstāmo darbību ietvaros, izņemot “projekta vadības un īstenošanas personāla nodrošināšana” un “informācijas un publicitātes pasākumu nodrošināšana” ir atbalstāmas šādas attiecināmo izmaksu pozīcijas: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metodisko materiālu, pētījumu, vadlīniju, aptauju u.c. atbalstāmo darbību īstenošanai nepieciešamo dokumentu izstrādes un aktualizēšanas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apmācību organizēšanas un īstenošanas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konsultantu, ekspertu un citu kvalitātes vadības sistēmas ieviešanai nepieciešamo pakalpojumu izmaksas, piemēram īpašu jomu konsultanti -informācijas tehnoloģiju pakalpojumi vai cita veida pakalpojumi, kurus šobrīd identificēt nav iespējams, bet kuri ir nepieciešami kvalitātes vadības sistēmas darbības nodrošināšanai un attīstībai, ja šāda veida pakalpojumu izmaksas ir pamatotas un saistītas ar kvalitātes vadības sistēmas ieviešanu;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informatīvo semināru un konferenču organizēšanas un īstenošanas izmaksas, t.sk. sabiedrības informēšanas pasākumu īstenošanas izmaksas par veselības aprūpes pakalpojumu saņemšanas iespējām un aktualitātēm nozarē, piem., par konkrētām slimībām, blakus saslimšanām, veselības riskiem, veselības problēmu savlaicīgu atpazīšanu hronisku slimību gadījumā, vairāk fokusējoties uz sirds un asinsvadu, onkoloģiskajām, retajām, psihiskām slimībām un cukura diabētu, un iespējām tās novērst (konsultējoties ar pacientu organizācijām), kā arī informatīvo semināru organizēšanas izmaksas sadarbības īstenošanai starp veselības aprūpes līmeņiem un starp dažādām specialitātēm;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izmaksas horizontālā principa “Vienlīdzība, iekļaušana, nediskriminācija un pamattiesību ievērošana” darbību īstenošanai, t.sk. subtitrēšanas un reāllaika transkripcijas pakalpojumu izmaksas, jomas konsultantu izmaksas, pandusu nomas, indukcijas cilpu nomas, zīmju valodas tulku un vieglās valodas tulkošanas pakalpojumu izmaksas, ja tas ir nepieciešams vides un informācijas piekļūstamības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Atbalstāmās darbības “informācijas un publicitātes pasākumu nodrošināšana” ietvaros ir attiecināmas komunikācijas un vizuālās identitātes prasību nodrošināšanas izmaksas atbilstoši regulas 2021/1060 47. pantam un 50. pantam un normatīvajiem aktiem, kas nosaka kārtību, kādā ES fondu vadībā iesaistītās institūcijas nodrošina šo fondu ieviešanu 2021.–2027. gada plānošanas periodā, kā arī Eiropas Savienības fondu 2021.–2027. gada plānošanas perioda un Atveseļošanas fonda komunikācijas un dizaina vadlīnijām.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vērtības nodoklis, kas tiešā veidā saistīts ar projektu, uzskatāms par attiecināmām izmaksām saskaņā ar Regulas Nr. 2021/1060 64. panta 1.punkta “c” apakšpunktā ietvertajiem nosacījumiem. Ņemot vērā, ka finansējuma saņēmējs ir vadošā valsts pārvaldes iestāde veselības nozarē, kas izstrādā, organizē un uzrauga valsts politiku sabiedrības veselības jomā - Veselības ministrija, tad pilnībā tiks nodrošināts dubultā finansējuma novēršanas risks saistībā ar pievienotās vērtības nodokļa maksājumiem vai tā nepamatotu pieprasīšanu no valsts budžeta, ja nodokļa maksājumi tiek attiecināti no projekta.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no vienkāršoto izmaksu piemērošanas veidiem tiek piemērota vienotā likme personālam un netiešo izmaksu vienotā likme. Savukārt par citām vienkāršošanas likmēm vai vienas vienības izmaksām saistībā ar to, ka pasākuma specifikas un metodisko materiālu, pētījumu, vadlīniju, aptauju, apmācību tēmu mācību izmaksām ir tik plaša amplitūda, šobrīd nav iespējams noteikt optimālu likmi. Pasākuma ietvaros nav tipveida darbību un pasākumi plānoti balstoties uz datiem, kas tieši trūkst (kāds pasākums vai kvalitātes vadība) kādā no nozares specifiskajām jomām. Projekta īstenošanas laikā tiks pārvērtēta plašāka vienkāršoto izmaksu piemērošana, nepieciešamības gadījumā izstrādājot metodiku.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Pasākumam ir būtiska ietekme uz pacientu drošību un efektivitāti, kas savukārt ietekmē iedzīvotāju veselības stāvokli kopumā un dzīves kvalitāti. Iepriekšminētais uzlabos veselības aprūpes kvalitāti, veicinās pacientu un viņu ģimenes locekļu informētību par veselības aprūpi un pacientu tiesībām, kā arī pacienta un viņa ģimenes iesaisti ārstēšanā. Tas attiecīgi palīdzēs uzlabot iedzīvotāju veselību, sekmēs savlaicīgu slimību risku atklāšanu un mazināšanu, darbspēju saglabāšanu, tādejādi pagarinot veselīgo mūža ilgumu. Tāpat iepriekšminētais veicinās Latvijas Nacionālajā attīstības plānā 2021.–2027.gadam izvirzīto mērķu sasniegšanu, jo viens no minētajiem mērķiem ir nodrošināt vienlīdzīgi pieejamus kvalitatīvus veselības pakalpojumus sabiedrībai. Viens no sociālekonomiskajiem ieguvumiem, ko sniegs pasākuma ieviešana, ir nevēlamu rezultātu/negadījumu novēršana, kas var rasties veselības aprūpes procesā, nevēlamu kaitējumu atkārtošanās iespējamības mazināšana un nevēlamo notikumu seku smaguma samazināšana. Iepriekšējā Eiropas Savienības struktūrfondu un Kohēzijas fondu plānošanas 2014.-2020. gada periodā apgūtais finansējums deva iespēju īstenot aktivitātes, kas veicināja veselības aprūpes sistēmas kvalitātes pilnveidošanu un pacientu drošības koncepcijas "Kvalitātes vadība jeb vadības kvalitāte" ieviešanu, izstrādājot un ieviešot gan algoritmus, gan pacientu ceļus dažādās jomās. Papildus tika mainīts normatīvais regulējums attiecībā uz obligātajām prasībām ārstniecības iestādēm un to struktūrvienībām</w:t>
      </w:r>
      <w:r w:rsidR="00000000" w:rsidRPr="00000000" w:rsidDel="00000000">
        <w:rPr>
          <w:vertAlign w:val="superscript"/>
          <w:rtl w:val="0"/>
        </w:rPr>
        <w:t xml:space="preserve">[6]</w:t>
      </w:r>
      <w:r w:rsidR="00000000" w:rsidRPr="00000000" w:rsidDel="00000000">
        <w:rPr>
          <w:rtl w:val="0"/>
        </w:rPr>
        <w:t xml:space="preserve">, paplašinot šo regulējumu ar pasākumiem, kādi ir jāveic ārstniecības iestādēm, lai nodrošinātu kvalitatīvus un pacientiem drošus ārstniecības pakalpojumus. 9.2.3. SAM īstenošanas laikā, piesaistot Latvijas vadošos speciālistus (ārstus), tika izstrādāti vairāk kā 150 klīniskie algoritmi, vairāk kā 140 klīniskie ceļi un vairāk kā 330 kvalitātes indikatori prioritārajās veselības jomās. Ārstniecības procesa standartizācija palīdzēja samazināt iespējamās kļūdas, kā arī nodrošināt iespēju pacientiem visās ārstniecības iestādēs saņemt līdzvērtīgu pakalpojumu, savukārt ārstniecības iestādēm un valsts iestādēm precīzāk plānot pacientu un finanšu plūsmas</w:t>
      </w:r>
      <w:r w:rsidR="00000000" w:rsidRPr="00000000" w:rsidDel="00000000">
        <w:rPr>
          <w:vertAlign w:val="superscript"/>
          <w:rtl w:val="0"/>
        </w:rPr>
        <w:t xml:space="preserve">[7]</w:t>
      </w:r>
      <w:r w:rsidR="00000000" w:rsidRPr="00000000" w:rsidDel="00000000">
        <w:rPr>
          <w:rtl w:val="0"/>
        </w:rPr>
        <w:t xml:space="preserve">. Saņemts apliecinājums no 29 ārstniecības iestādēm, ka tās ir iepazinušās ar iepriekš minētajiem klīniskajiem algoritmiem, klīniskajiem ceļiem un kvalitātes indikatoriem un izmanto tos pakalpojumu sniegšanā, kā arī iestrādā kvalitātes vadības sistēmās. Apmācīts ārstniecības iestāžu personāls: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2125 ārstniecības iestāžu darbinieki par pilna ārstniecības procesa pacientu drošības un kvalitātes jautājumiem;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353 ārstniecības iestāžu darbinieki par personāla psihoemocionālā atbalsta nozīmi un saņemšanas iespējām ārstniecības iestādēs. Personāla psihoemocionālais atbalsts palīdz novērst izdegšanas sindromu un citus psihoemocionālos traucējumus, kas var palīdzēt saglabāt personālu un samazināt iespēju sniegt nekvalitatīvus un/vai nedrošus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40 klīniskie psihologi strukturētas autiskā spektra traucējumu diagnostikai. Mācību laikā sagatavoti speciālisti, kas veiktu diagnostiku, tādējādi palielinot no valsts budžeta apmaksāta pakalpojuma savlaicīgas saņemšanas iespējas vairāk bērniem, kas, savukārt, ļauj sniegt nepieciešamo aprūpi, uzlabojot pacienta prognozes.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Pašlaik Pacientu ziņotās pieredzes mērījumi (PREMs) ir ieviesti 21 ārstniecības iestādē un tā ieviešana vēl turpinās. 4.1.2.7. pasākuma ietvaros tiks pilnveidota pacientu drošība un aprūpes kvalitāte vismaz 41 ārstniecības iestādē. Rādītājs tiks uzskatīts par sasniegtu pēc projekta pabeigšanas,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visās ārstniecības iestādēs par pacientu drošību un veselības aprūpi ir apmācīts personāls;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projekta ietvaros izstrādāto dokumentu (klīniskie kvalitātes indikatori, klīniskie pacientu ceļi un uz starptautiski atzītām vadlīnijām profesionāļu izstrādāti klīniskie algoritmi) saturs liecina, ka izstrādātajos dokumentos ietvertās tēmas kopumā aptver un ir paredzētas izmantošanai vismaz 41 ārstniecības iestādē. Katrs izstrādātais dokuments var būt paredzēts izmantošanai vairākās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pasākuma projekta vadību un īstenošanu, finansējuma saņēmējs uz projekta īstenošanas laiku var izveidot nepieciešamās terminētās tikai uz projekta īstenošanas laiku amata vietas projekta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investīcijām nav ietekmes uz horizontālajiem 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“Klimatdrošināšana”; “Energoefektivitāte pirmajā vietā” un “Nenodarīt būtisku kaitējumu”. Savukārt uz horizontālo principu “Vienlīdzība, iekļaušana, nediskriminācija un pamattiesību ievērošana” ir netieša ietekme, attiecīgi projektu iesniegumu atlasē vērtējot kritēriju vai projektā paredzētas darbības, kas veicina horizontālā principa ”Vienlīdzība, iekļaušana, nediskriminācija un pamattiesību ievērošana” īstenošanu. Projektā ir jābūt: vismaz trīs vispārīgām darbībām, vismaz trīs specifiskām darbībām un jānosaka vismaz viens horizontālā principa “Vienlīdzība, iekļaušana, nediskriminācija un pamattiesību ievērošana” rādītājs: - izstrādāto vai pilnveidoto stratēģiju, izglītības programmu, metodisko līdzekļu, vadlīniju, mācību līdzekļu (tai skaitā digitālo), skaits, kuros integrēti jautājumi par dzimumu līdztiesību, personu ar invaliditāti vienlīdzīgām iespējām, diskriminācijas novēršanu vecuma, etniskās piederības un citu iemeslu dēļ, kā arī pamattiesību jautājumi, tostarp par tiesiskajiem un praktiskajiem aspektiem – kas attiecīgi noteikts noteikumu projektā.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īstenotās investīcijas uzlabos Latvijas iedzīvotāju veselību, pagarinot labā veselībā nodzīvoto mūžu, mazinot nevienlīdzību veselības jomā un priekšlaicīgu mirstību, attiecīgi pasākuma ietvaros paredzētie pasākumi vienlaicīgi veicinās arī ES stratēģijā Baltijas jūras reģionam (ESSBJR) apakšmērķa “celt labklājību” sasniegšanu.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Atbalsts tiks sniegts atbilstoši 4.politikas mērķa “Sociālāka un iekļaujošāka Eiropa, īstenojot Eiropas sociālo tiesību pīlāru” prioritātei 4.1. “Veselības veicināšana un aprūpe””, veicot ieguldījumus iedzīvotāju veselības uzlabošanai, priekšlaicīgas nāves, invaliditātes novēršanai. Ieguldījumi tiks pārvērsti saglabātos dzīves gados, uzlabojot dzīves kvalitāti.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projekts radīs ietekmi uz Sabiedrības veselības pamatnostādnēs noteiktajiem mērķiem un rādītājiem, piemēram, tiks uzlabots rādītājs - potenciāli zaudētie mūža gadi uz 100 000 iedzīvotājiem līdz 69 gadu vecumam (vīriešiem/sievietēm).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plānotais atbalsts nav kvalificējams kā komercdarbības atbalsts un nav ieviešams saskaņā ar komercdarbības atbalsta regulējumu, jo tas neatbilst divām Komercdarbības atbalsta kontroles likuma 5. pantā noteiktajām pazīmēm. Viens no Komercdarbības atbalsta kontroles likuma 5. pantā minētajiem valsts atbalsta raksturojošiem kritērijiem ir ekonomiskās priekšrocības pastāvēšana, kad saimnieciskās darbības veicējs iegūst ekonomiskās priekšrocības, kādas tas nevarētu iegūt tirgus apstākļos, ja komercdarbības atbalsts netiktu sniegts. Vēršam uzmanību, ka pasākuma ietvaros atbalstāmās darbības “klīnisko kvalitātes indikatoru, klīnisko pacientu ceļu un uz starptautiski atzītām vadlīnijām profesionāļu izstrādātu klīnisko algoritmu izstrāde, aktualizēšana, ieviešana un uzraudzība”, “veselības aprūpes personāla zināšanu un prasmju pilnveidošana pacientu drošības un veselības aprūpes kvalitātes vadības jautājumos”, “pacientu un veselības aprūpes personāla pieredzes uzlabošana par saņemtajiem veselības aprūpes pakalpojumiem” un “pacientu aprūpes nepārtrauktības un aprūpes kvalitātes nodrošināšana” finansējuma saņēmējs īstenos ārpakalpojumu veidā, veicot iepirkumu, saskaņā ar normatīvajiem aktiem publisko iepirkumu jomā. Pakalpojuma sniedzēji tiks izvēlēti atklāta konkursa veidā, tādējādi nodrošinot iepirkumu atklātumu, piegādātāju brīvu konkurenci, kā arī vienlīdzīgu un taisnīgu attieksmi pret visiem. Pasākuma ietvaros tiks nodrošināta iespēja pieteikties ikvienai ārstniecības iestādei un ikvienai personai atbilstoši mērķa grupai, neskatoties, uz to, kur tā strādā, nepamatoti neierobežojot apmācību dalībniekus, piemēram, atkarībā no piesaistes pie kāda konkrēta uzņēmuma. Ņemot vērā minēto, noteikumu projekta ietvaros netiks sniegtas selektīvas priekšrocības konkrētiem uzņēmumiem un pasākums nekvalificējas kā komercdarbības atbalsts.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Ministru kabineta 2009.gada 20.janvāra noteikumi Nr.60 “Noteikumi par obligātajām prasībām ārstniecības iestādēm un to struktūrvienībām” https://likumi.lv/ta/id/187621-noteikumi-par-obligatajam-prasibam-arstniecibas-iestadem-un-to-strukturvienibam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https://www.spkc.gov.lv/lv/kliniskie-algoritmi-pacientu-celi-indikatori-esf-projekts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Latvijas iedzīvotāji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Pasākumam ir būtiska ietekme uz pacientu drošību, kas savukārt ietekmē iedzīvotāju veselības stāvokli kopumā un dzīves kvalitāti. Iepriekšminētais uzlabos veselības aprūpes kvalitāti, veicinās pacientu un viņu ģimenes locekļu informētību par veselības aprūpi un pacientu tiesībām, kā arī pacienta un viņa ģimenes iesaisti ārstēšanā. Tas attiecīgi palīdzēs uzlabot iedzīvotāju veselību, sekmēs savlaicīgu slimību risku atklāšanu un mazināšanu, darbspēju saglabāšanu, tādejādi pagarinot veselīgo mūža ilgumu.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129 412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258 825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517 650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129 412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258 825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517 650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152 250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304 500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609 000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152 250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304 500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609 000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-22 838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-45 675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-91 350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-22 838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-45 675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-91 350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-22 838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-45 675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-91 350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-22 838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-45 675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-91 350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4.1.2.7. pasākumam plānotais un pieejamais kopējais finansējums ir 3 045 000 </w:t>
            </w:r>
            <w:r w:rsidR="00000000" w:rsidRPr="00000000" w:rsidDel="00000000">
              <w:rPr>
                <w:sz w:val="24"/>
                <w:i w:val="1"/>
                <w:rtl w:val="0"/>
              </w:rPr>
              <w:t xml:space="preserve">euro</w:t>
            </w:r>
            <w:r w:rsidR="00000000" w:rsidRPr="00000000" w:rsidDel="00000000">
              <w:rPr>
                <w:sz w:val="24"/>
                <w:rtl w:val="0"/>
              </w:rPr>
              <w:t xml:space="preserve">, tai skaitā Eiropas Sociālā fonda Plus (turpmāk – ESF+) finansējums  – 2 588 250 </w:t>
            </w:r>
            <w:r w:rsidR="00000000" w:rsidRPr="00000000" w:rsidDel="00000000">
              <w:rPr>
                <w:sz w:val="24"/>
                <w:i w:val="1"/>
                <w:rtl w:val="0"/>
              </w:rPr>
              <w:t xml:space="preserve">euro</w:t>
            </w:r>
            <w:r w:rsidR="00000000" w:rsidRPr="00000000" w:rsidDel="00000000">
              <w:rPr>
                <w:sz w:val="24"/>
                <w:rtl w:val="0"/>
              </w:rPr>
              <w:t xml:space="preserve"> un valsts budžeta līdzfinansējums – 456 750 </w:t>
            </w:r>
            <w:r w:rsidR="00000000" w:rsidRPr="00000000" w:rsidDel="00000000">
              <w:rPr>
                <w:sz w:val="24"/>
                <w:i w:val="1"/>
                <w:rtl w:val="0"/>
              </w:rPr>
              <w:t xml:space="preserve">euro</w:t>
            </w:r>
            <w:r w:rsidR="00000000" w:rsidRPr="00000000" w:rsidDel="00000000">
              <w:rPr>
                <w:sz w:val="24"/>
                <w:rtl w:val="0"/>
              </w:rPr>
              <w:t xml:space="preserve">. Budžeta ieņēmumi ir finansējuma ESF+ daļa 85% apmērā no projekta attiecināmajām izmaksām. 4.1.2.7. pasākumu par pieejamo finansējumu plānots ieviest līdz 2029. gada 31. decembrim, tai skaitā paredzēts: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2024. gadā</w:t>
            </w:r>
            <w:r w:rsidR="00000000" w:rsidRPr="00000000" w:rsidDel="00000000">
              <w:rPr>
                <w:sz w:val="24"/>
                <w:rtl w:val="0"/>
              </w:rPr>
              <w:t xml:space="preserve"> -  152 250 </w:t>
            </w:r>
            <w:r w:rsidR="00000000" w:rsidRPr="00000000" w:rsidDel="00000000">
              <w:rPr>
                <w:sz w:val="24"/>
                <w:i w:val="1"/>
                <w:rtl w:val="0"/>
              </w:rPr>
              <w:t xml:space="preserve">euro</w:t>
            </w:r>
            <w:r w:rsidR="00000000" w:rsidRPr="00000000" w:rsidDel="00000000">
              <w:rPr>
                <w:sz w:val="24"/>
                <w:rtl w:val="0"/>
              </w:rPr>
              <w:t xml:space="preserve">, tai skaitā ESF+ finansējums – 129 412 </w:t>
            </w:r>
            <w:r w:rsidR="00000000" w:rsidRPr="00000000" w:rsidDel="00000000">
              <w:rPr>
                <w:sz w:val="24"/>
                <w:i w:val="1"/>
                <w:rtl w:val="0"/>
              </w:rPr>
              <w:t xml:space="preserve">euro</w:t>
            </w:r>
            <w:r w:rsidR="00000000" w:rsidRPr="00000000" w:rsidDel="00000000">
              <w:rPr>
                <w:sz w:val="24"/>
                <w:rtl w:val="0"/>
              </w:rPr>
              <w:t xml:space="preserve"> apmērā un valsts budžeta līdzfinansējums 22 838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2025. gadā</w:t>
            </w:r>
            <w:r w:rsidR="00000000" w:rsidRPr="00000000" w:rsidDel="00000000">
              <w:rPr>
                <w:sz w:val="24"/>
                <w:rtl w:val="0"/>
              </w:rPr>
              <w:t xml:space="preserve"> – 304 500 </w:t>
            </w:r>
            <w:r w:rsidR="00000000" w:rsidRPr="00000000" w:rsidDel="00000000">
              <w:rPr>
                <w:sz w:val="24"/>
                <w:i w:val="1"/>
                <w:rtl w:val="0"/>
              </w:rPr>
              <w:t xml:space="preserve">euro</w:t>
            </w:r>
            <w:r w:rsidR="00000000" w:rsidRPr="00000000" w:rsidDel="00000000">
              <w:rPr>
                <w:sz w:val="24"/>
                <w:rtl w:val="0"/>
              </w:rPr>
              <w:t xml:space="preserve">, tai skaitā ESF+ finansējums – 258 825 </w:t>
            </w:r>
            <w:r w:rsidR="00000000" w:rsidRPr="00000000" w:rsidDel="00000000">
              <w:rPr>
                <w:sz w:val="24"/>
                <w:i w:val="1"/>
                <w:rtl w:val="0"/>
              </w:rPr>
              <w:t xml:space="preserve">euro</w:t>
            </w:r>
            <w:r w:rsidR="00000000" w:rsidRPr="00000000" w:rsidDel="00000000">
              <w:rPr>
                <w:sz w:val="24"/>
                <w:rtl w:val="0"/>
              </w:rPr>
              <w:t xml:space="preserve"> apmērā un valsts budžeta līdzfinansējums 45 675 </w:t>
            </w:r>
            <w:r w:rsidR="00000000" w:rsidRPr="00000000" w:rsidDel="00000000">
              <w:rPr>
                <w:sz w:val="24"/>
                <w:i w:val="1"/>
                <w:rtl w:val="0"/>
              </w:rPr>
              <w:t xml:space="preserve">euro</w:t>
            </w:r>
            <w:r w:rsidR="00000000" w:rsidRPr="00000000" w:rsidDel="00000000">
              <w:rPr>
                <w:sz w:val="24"/>
                <w:rtl w:val="0"/>
              </w:rPr>
              <w:t xml:space="preserve">. Finansējums 2025. gadam tiks iestrādāts budžeta ilgtermiņa saistībās.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2026. gadā</w:t>
            </w:r>
            <w:r w:rsidR="00000000" w:rsidRPr="00000000" w:rsidDel="00000000">
              <w:rPr>
                <w:sz w:val="24"/>
                <w:rtl w:val="0"/>
              </w:rPr>
              <w:t xml:space="preserve"> – 609 000 </w:t>
            </w:r>
            <w:r w:rsidR="00000000" w:rsidRPr="00000000" w:rsidDel="00000000">
              <w:rPr>
                <w:sz w:val="24"/>
                <w:i w:val="1"/>
                <w:rtl w:val="0"/>
              </w:rPr>
              <w:t xml:space="preserve">euro</w:t>
            </w:r>
            <w:r w:rsidR="00000000" w:rsidRPr="00000000" w:rsidDel="00000000">
              <w:rPr>
                <w:sz w:val="24"/>
                <w:rtl w:val="0"/>
              </w:rPr>
              <w:t xml:space="preserve">, tai skaitā ESF+ finansējums – 517 650 </w:t>
            </w:r>
            <w:r w:rsidR="00000000" w:rsidRPr="00000000" w:rsidDel="00000000">
              <w:rPr>
                <w:sz w:val="24"/>
                <w:i w:val="1"/>
                <w:rtl w:val="0"/>
              </w:rPr>
              <w:t xml:space="preserve">euro</w:t>
            </w:r>
            <w:r w:rsidR="00000000" w:rsidRPr="00000000" w:rsidDel="00000000">
              <w:rPr>
                <w:sz w:val="24"/>
                <w:rtl w:val="0"/>
              </w:rPr>
              <w:t xml:space="preserve"> apmērā un valsts budžeta līdzfinansējums 91 350 </w:t>
            </w:r>
            <w:r w:rsidR="00000000" w:rsidRPr="00000000" w:rsidDel="00000000">
              <w:rPr>
                <w:sz w:val="24"/>
                <w:i w:val="1"/>
                <w:rtl w:val="0"/>
              </w:rPr>
              <w:t xml:space="preserve">euro</w:t>
            </w:r>
            <w:r w:rsidR="00000000" w:rsidRPr="00000000" w:rsidDel="00000000">
              <w:rPr>
                <w:sz w:val="24"/>
                <w:rtl w:val="0"/>
              </w:rPr>
              <w:t xml:space="preserve">. Finansējums 2026. gadam tiks iestrādāts budžeta ilgtermiņa saistībās.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2027. gadam</w:t>
            </w:r>
            <w:r w:rsidR="00000000" w:rsidRPr="00000000" w:rsidDel="00000000">
              <w:rPr>
                <w:sz w:val="24"/>
                <w:rtl w:val="0"/>
              </w:rPr>
              <w:t xml:space="preserve"> kopējās izmaksas 761 250 </w:t>
            </w:r>
            <w:r w:rsidR="00000000" w:rsidRPr="00000000" w:rsidDel="00000000">
              <w:rPr>
                <w:sz w:val="24"/>
                <w:i w:val="1"/>
                <w:rtl w:val="0"/>
              </w:rPr>
              <w:t xml:space="preserve">euro</w:t>
            </w:r>
            <w:r w:rsidR="00000000" w:rsidRPr="00000000" w:rsidDel="00000000">
              <w:rPr>
                <w:sz w:val="24"/>
                <w:rtl w:val="0"/>
              </w:rPr>
              <w:t xml:space="preserve">, tai skaitā ESF+ finansējums – 647 063 </w:t>
            </w:r>
            <w:r w:rsidR="00000000" w:rsidRPr="00000000" w:rsidDel="00000000">
              <w:rPr>
                <w:sz w:val="24"/>
                <w:i w:val="1"/>
                <w:rtl w:val="0"/>
              </w:rPr>
              <w:t xml:space="preserve">euro</w:t>
            </w:r>
            <w:r w:rsidR="00000000" w:rsidRPr="00000000" w:rsidDel="00000000">
              <w:rPr>
                <w:sz w:val="24"/>
                <w:rtl w:val="0"/>
              </w:rPr>
              <w:t xml:space="preserve"> apmērā un valsts budžeta līdzfinansējums 114 187 </w:t>
            </w:r>
            <w:r w:rsidR="00000000" w:rsidRPr="00000000" w:rsidDel="00000000">
              <w:rPr>
                <w:sz w:val="24"/>
                <w:i w:val="1"/>
                <w:rtl w:val="0"/>
              </w:rPr>
              <w:t xml:space="preserve">euro</w:t>
            </w:r>
            <w:r w:rsidR="00000000" w:rsidRPr="00000000" w:rsidDel="00000000">
              <w:rPr>
                <w:sz w:val="24"/>
                <w:rtl w:val="0"/>
              </w:rPr>
              <w:t xml:space="preserve">. Finansējums 2027. gadam tiks iestrādāts budžeta ilgtermiņa saistībās.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2028. gadam</w:t>
            </w:r>
            <w:r w:rsidR="00000000" w:rsidRPr="00000000" w:rsidDel="00000000">
              <w:rPr>
                <w:sz w:val="24"/>
                <w:rtl w:val="0"/>
              </w:rPr>
              <w:t xml:space="preserve"> kopējās izmaksas 609 000 </w:t>
            </w:r>
            <w:r w:rsidR="00000000" w:rsidRPr="00000000" w:rsidDel="00000000">
              <w:rPr>
                <w:sz w:val="24"/>
                <w:i w:val="1"/>
                <w:rtl w:val="0"/>
              </w:rPr>
              <w:t xml:space="preserve">euro</w:t>
            </w:r>
            <w:r w:rsidR="00000000" w:rsidRPr="00000000" w:rsidDel="00000000">
              <w:rPr>
                <w:sz w:val="24"/>
                <w:rtl w:val="0"/>
              </w:rPr>
              <w:t xml:space="preserve">, tai skaitā ESF+ finansējums – 517 650 </w:t>
            </w:r>
            <w:r w:rsidR="00000000" w:rsidRPr="00000000" w:rsidDel="00000000">
              <w:rPr>
                <w:sz w:val="24"/>
                <w:i w:val="1"/>
                <w:rtl w:val="0"/>
              </w:rPr>
              <w:t xml:space="preserve">euro</w:t>
            </w:r>
            <w:r w:rsidR="00000000" w:rsidRPr="00000000" w:rsidDel="00000000">
              <w:rPr>
                <w:sz w:val="24"/>
                <w:rtl w:val="0"/>
              </w:rPr>
              <w:t xml:space="preserve"> apmērā un valsts budžeta līdzfinansējums 91 350 </w:t>
            </w:r>
            <w:r w:rsidR="00000000" w:rsidRPr="00000000" w:rsidDel="00000000">
              <w:rPr>
                <w:sz w:val="24"/>
                <w:i w:val="1"/>
                <w:rtl w:val="0"/>
              </w:rPr>
              <w:t xml:space="preserve">euro</w:t>
            </w:r>
            <w:r w:rsidR="00000000" w:rsidRPr="00000000" w:rsidDel="00000000">
              <w:rPr>
                <w:sz w:val="24"/>
                <w:rtl w:val="0"/>
              </w:rPr>
              <w:t xml:space="preserve">. Finansējums 2028. gadam tiks iestrādāts budžeta ilgtermiņa saistībās.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2029. gadam</w:t>
            </w:r>
            <w:r w:rsidR="00000000" w:rsidRPr="00000000" w:rsidDel="00000000">
              <w:rPr>
                <w:sz w:val="24"/>
                <w:rtl w:val="0"/>
              </w:rPr>
              <w:t xml:space="preserve"> kopējās izmaksas 609 000 </w:t>
            </w:r>
            <w:r w:rsidR="00000000" w:rsidRPr="00000000" w:rsidDel="00000000">
              <w:rPr>
                <w:sz w:val="24"/>
                <w:i w:val="1"/>
                <w:rtl w:val="0"/>
              </w:rPr>
              <w:t xml:space="preserve">euro</w:t>
            </w:r>
            <w:r w:rsidR="00000000" w:rsidRPr="00000000" w:rsidDel="00000000">
              <w:rPr>
                <w:sz w:val="24"/>
                <w:rtl w:val="0"/>
              </w:rPr>
              <w:t xml:space="preserve">, tai skaitā ESF+ finansējums – 517 650 </w:t>
            </w:r>
            <w:r w:rsidR="00000000" w:rsidRPr="00000000" w:rsidDel="00000000">
              <w:rPr>
                <w:sz w:val="24"/>
                <w:i w:val="1"/>
                <w:rtl w:val="0"/>
              </w:rPr>
              <w:t xml:space="preserve">euro</w:t>
            </w:r>
            <w:r w:rsidR="00000000" w:rsidRPr="00000000" w:rsidDel="00000000">
              <w:rPr>
                <w:sz w:val="24"/>
                <w:rtl w:val="0"/>
              </w:rPr>
              <w:t xml:space="preserve"> apmērā un valsts budžeta līdzfinansējums 91 350 </w:t>
            </w:r>
            <w:r w:rsidR="00000000" w:rsidRPr="00000000" w:rsidDel="00000000">
              <w:rPr>
                <w:sz w:val="24"/>
                <w:i w:val="1"/>
                <w:rtl w:val="0"/>
              </w:rPr>
              <w:t xml:space="preserve">euro</w:t>
            </w:r>
            <w:r w:rsidR="00000000" w:rsidRPr="00000000" w:rsidDel="00000000">
              <w:rPr>
                <w:sz w:val="24"/>
                <w:rtl w:val="0"/>
              </w:rPr>
              <w:t xml:space="preserve">. Finansējums 2029. gadam tiks iestrādāts budžeta ilgtermiņa saistībās.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4.1.2.7. pasākuma īstenošanai tiks izveidota jauna Veselības ministrijas budžeta apakšprogramma „Eiropas Sociālā fonda Plus (ESF+) projektu īstenošana (2021-2027)”.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projekta iesnieguma apstiprināšanas Veselības ministrija normatīvajos aktos noteiktajā kārtībā iesniegs Finanšu ministrijā pieprasījumu apropriācijas pārdalei no 74. resora “Gadskārtējā valsts budžeta izpildes procesā pārdalāmais finansējums” 80.00.00 programmas “Nesadalītais finansējums Eiropas Savienības politiku instrumentu un pārējās ārvalstu finanšu palīdzības līdzfinansēto projektu un pasākumu īstenošanai””.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Nepieciešamais valsts budžeta līdzfinansējums normatīvajos aktos noteiktajā kārtībā tiks pieprasīts no 74. resora „Gadskārtējā valsts budžeta izpildes procesā pārdalāmais finansējums” 80.00.00 programmas „Nesadalītais finansējums Eiropas Savienības politiku instrumentu un pārējās ārvalstu finanšu palīdzības līdzfinansēto projektu un pasākumu īstenošanai”.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32021R1060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2021. gada 24. jūnija Regula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2021/1060)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32021R1057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2021. gada 24. jūnija Regula (ES) 2021/1057, ar ko izveido Eiropas Sociālo fondu Plus (ESF+) un atceļ regulu (ES) Nr. 1296/2013 (turpmāk – regula 2021/1057)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32018R1046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(ES, Euratom) 2018. gada 18. jūlija Regula Nr.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(turpmāk - regula 2018/1046)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2021. gada 24. jūnija Regula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2021/1060)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55.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paredzētas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54. (pirmās daļas "b"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paredzētas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64. (1.punkta "c"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paredzētas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47., 50.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paredzētas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2021. gada 24. jūnija Regula (ES) 2021/1057, ar ko izveido Eiropas Sociālo fondu Plus (ESF+) un atceļ regulu (ES) Nr. 1296/2013 (turpmāk – regula 2021/1057)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23.4.2.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paredzētas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(ES, Euratom) 2018. gada 18. jūlija Regula Nr.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(turpmāk - regula 2018/1046)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paredzētas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2009.gada 25.augusta noteikumu Nr.970 „Sabiedrības līdzdalības kārtība attīstības plānošanas procesā” 5.punktam sabiedrības līdzdalības kārtība ir piemērojama tiesību aktu projektu izstrādē, kas būtiski maina esošo regulējumu vai paredz ieviest jaunas politiskās iniciatīvas. Ņemot vērā, ka likumprojekts neatbilst minētajiem kritērijiem, jo politiskais lēmums ir pieņemts ar Ministru kabineta 2022.gada 26.maija rīkojumu Nr. 359 "Sabiedrības veselības pamatnostādnes 2021.–2027. gadam" apstiprinātajās Sabiedrības veselības pamatnostādnēs 2021.–2027. gadam un šis noteikumu projekts nemaina esošo regulējumu un neparedz ieviest jaunas politiskās iniciatīvas, sabiedrības līdzdalības kārtība projekta izstrādē netiek piemērota. Projekts un tā anotācija būs publiski pieejami Ministru kabineta tīmekļvietnē – sadaļā/Tiesību aktu projekti un jebkura institūcija var sniegt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Oficiālo publikāciju un tiesiskās informācijas likuma 2. panta pirmo daļu un 3. panta pirmo daļu tiesību aktus publicē oficiālajā izdevumā “Latvijas Vēstnesis”, tos publicējot elektroniski tīmekļa vietnē www.vestnesis.lv.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pasākuma ieviešanas nosacījumu apstiprināšanas Ministru kabinetā, tiks sagatavota un iesniegta informācija par sabiedrības pārstāvju iesaisti normatīvā regulējuma izstrādē Nevalstisko organizāciju un Ministru kabineta sadarbības memoranda īstenošanas padomes sekretariātam.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finanšu un līgumu aģentūra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pildīs atbildīgās iestādes un finansējuma saņēmēja funkcijas.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vadība un informēšanas pasākumi u.c. projekta darbības tiks īstenotas pielāgotās telpās personām ar invaliditāti, nodrošinot nepieciešamo   aprīkojumu iekļūšanai telpās un pielāgotas informācijas tehnoloģijas, ja tas ir nepieciešams.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tiks īstenotas darbības, kas netieši veicinās dzimumu līdztiesību, piemēram, projekta vadības un īstenošanas personāla atlase tiks nodrošināta bez jebkādas tiešas vai netiešas diskriminācijas, piemēram, veicinot mazāk pārstāvētā dzimuma piesaisti un nediskriminē  pēc rases, etniskās izcelsmes, dzimuma, vecuma, invaliditātes, reliģiskās, pārliecības,  seksuālās orientācijas vai citiem apstākļiem.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Pacientu drošības un aprūpes kvalitātes pilnveides pasākumiem ir būtiska loma sabiedrības veselības stāvokļa uzlabošanā, kas ir svarīgs faktors veselības aprūpes sistēmas noslodzes mazināšanā un veselības aprūpes pakalpojumu pieejamībai. Pasākumi uzlabos veselības aprūpes kvalitāti, veicinās pacientu un viņu ģimenes locekļu informētību par veselības aprūpi un pacientu tiesībām, kā arī pacienta un viņa ģimenes iesaisti ārstēšanā. Tas attiecīgi palīdzēs uzlabot iedzīvotāju veselību, sekmēs savlaicīgu slimību risku atklāšanu un mazināšanu, darbspēju saglabāšanu, tādejādi pagarinot veselīgo mūža ilgumu.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Īstenojot projektu, finansējuma saņēmējs nodrošinās informācijas un datu uzkrāšanu par sniegto atbalstu mērķa grupām, t.sk. pasākumā iesaistītiem dalībniekiem, kuri uzskaitāmi atbilstoši regulas Nr. 2021/1057 I pielikumam un normatīvo aktu par Eiropas Savienības fondu projektu pārbaužu veikšanas kārtība 2021.–2027. gada plānošanas periodā 1. pielikumam, ievērojot Eiropas Parlamenta un Padomes 2016.gada 27.aprīļa regulas Nr.2016/679 par fizisku personu aizsardzību attiecībā uz personas datu apstrādi un šādu datu brīvu apriti un ar ko atceļ Direktīvu 95/46/EK prasības, tostarp 5. pantā nostiprinātos datu apstrādes principus, informācijas par personu datu apstrādi, nosakot: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skaidrus datu apstrādes nolūkus (gana skaidrs, lai varētu izsecināt iespējamos apstrādājamos datu veidus jeb kategorijas);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datu subjektus, kuru datus paredzēts apstrādāt;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datu veidus jeb kategorijas, kuras paredzēts apstrādāt;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datu glabāšanas termiņus (ja datus ir paredzēts uzglabāt);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institūcijas, kam dati var tikt nodoti un kādā nolūkā (ja datus paredzēts kādam nodot).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apstrādes tiesiskais pamatojums - Eiropas Parlamenta un Padomes 2021. gada 24. jūnija Regulas (ES) Nr. 2021/1057, ar ko izveido Eiropas Sociālo fondu Plus (ESF+) un atceļ Regulu (ES) Nr. 1296/2013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subjekts - Pasākuma mērķa grupa.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jābūt informācijai: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vai, veicot iepirkumu, kas nepieciešams atbalstāmo darbību īstenošanai, tiks nodrošināts sociāli atbildīgs iepirkums, pienācīgi ievērojot tādus principus kā personu ar invaliditāti vienlīdzīgu iespēju principu visās dzīves jomās, personai piemītošās cieņas, personīgās patstāvības un neatkarības, t.sk. personīgās izvēles brīvības un personas neatkarības ievērošanas, diskriminācijas aizlieguma principu, piekļūstamības principu, līdzdalības principu, iekļaušanas principu un izpratnes veicināšanas principu, neveicinot nelabvēlīgākā situācijā esošu grupu segregāciju/ izolāciju, piemēram, personu ar invaliditāti un migrantu izcelsmes personu segregāciju/ izolāciju;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vai tiek paredzētas </w:t>
      </w:r>
      <w:r w:rsidR="00000000" w:rsidRPr="00000000" w:rsidDel="00000000">
        <w:rPr>
          <w:b w:val="1"/>
          <w:rtl w:val="0"/>
        </w:rPr>
        <w:t xml:space="preserve">vismaz trīs vispārīgās darbības</w:t>
      </w:r>
      <w:r w:rsidR="00000000" w:rsidRPr="00000000" w:rsidDel="00000000">
        <w:rPr>
          <w:rtl w:val="0"/>
        </w:rPr>
        <w:t xml:space="preserve">, kas veicina vienlīdzību, iekļaušanu, nediskrimināciju un pamattiesību ievērošanu,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vadības un īstenošanas personāla atlase tiks nodrošināta bez jebkādas tiešas vai netiešas diskriminācijas - neatkarīgi no personas rases, etniskās izcelsmes, ādas krāsas, dzimuma, vecuma, invaliditātes, reliģiskās, politiskās vai citas pārliecības, nacionālās vai sociālās izcelsmes, visi dati par pasākuma mērķa grupām, kur vien tas ir iespējams, tiks sniegti sadalījumā pēc dzimumiem;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sievietēm un vīriešiem tiks nodrošinātas vienlīdzīgas karjeras izaugsmes iespējas, tostarp nodrošinot dalību apmācībās, semināros, komandējumos;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tiks īstenoti pasākumi, kas veicina skaidru un saprotamu kritēriju noteikšanu vienlīdzīgas darba samaksas principu iedzīvināšanai uzņēmuma/organizācijā;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īstenojot projekta komunikācijas aktivitātes, tiks izvēlēta valoda un vizuālie tēli, kas mazina diskrimināciju un stereotipu veidošanos (skat. metodisko materiālu “Ieteikumi diskrimināciju un stereotipus mazinošai komunikācijai ar sabiedrību”; https://www.lm.gov.lv/lv/vadlinijas-rekomendacijas-informativie-materiali);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nodrošinot informāciju publiskajā telpā, t.sk. tīmeklī, tiks nodrošināts, ka to saturs ir piekļūstams cilvēkiem ar funkcionāliem traucējumiem, izmantojot vairākus sensoros (redze, dzirde, tauste) kanālus (skat. VARAM vadlīnijas “Tīmekļvietnes izvērtējums atbilstoši digitālās vides piekļūstamības prasībām (WCAG 2.1 AA)”; https://pieklustamiba.varam.gov.lv/);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tiks nodrošināts, ka pamatinformācija projekta tīmekļa vietnē ir pieejama vieglā valodā, piemēram, informācija par projekta mērķi, mērķa grupām un galvenajām atbalstāmajām darbībām. Teksta informatīvajam apjomam vieglajā valodā ir jābūt līdzvērtīgam informācijai latviešu valodā (Vieglās valodas aģentūra: www.vieglavaloda.lv);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projekta vadība un informēšanas pasākumi u.c. projekta darbības tiks  īstenotas  pielāgotās  telpās  personām  ar  invaliditāti, nodrošinot nepieciešamo   aprīkojumu  iekļūšanai  telpās  un  pielāgotas  informācijas tehnoloģijas, ja tas ir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vai tiek paredzētas </w:t>
      </w:r>
      <w:r w:rsidR="00000000" w:rsidRPr="00000000" w:rsidDel="00000000">
        <w:rPr>
          <w:b w:val="1"/>
          <w:rtl w:val="0"/>
        </w:rPr>
        <w:t xml:space="preserve">vismaz trīs specifiskās darbības</w:t>
      </w:r>
      <w:r w:rsidR="00000000" w:rsidRPr="00000000" w:rsidDel="00000000">
        <w:rPr>
          <w:rtl w:val="0"/>
        </w:rPr>
        <w:t xml:space="preserve">, kas izriet no pasākuma atbalstāmo darbību un projekta satura un kas īpaši veicina dalību pasākuma dažādām mērķa grupām, t.sk. ar īpašu risku atbilstoši jomu specifikai,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vadība un informēšanas pasākumi u.c. projekta darbības tiks  īstenotas  pielāgotās  telpās  personām  ar  invaliditāti, nodrošinot nepieciešamo   aprīkojumu  iekļūšanai  telpās  un  pielāgotas  informācijas tehnoloģijas, ja tas ir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pētījumu, izvērtējumu, vadlīniju u.c. dokumentu saturā tiks integrēti jautājumi par dzimumu līdztiesību, personu ar invaliditāti vienlīdzīgām iespējām, diskriminācijas novēršanu vecuma, etniskās piederības un citu iemeslu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sabiedrības informēšanas par aktualitātēm nozarē un veselības aprūpes pakalpojumu saņemšanas iespējām pasākumu īstenošanā tiks nodrošināti cilvēkiem ar dažāda veida funkcionāliem traucējumiem piekļūstami formāti (piemēram, tulkošana zīmju valodā, subtitrēšana, reāllaika transkripcija, raidījumu un pasākumu ierakstīšana);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klīnisko kvalitātes indikatoru, klīnisko pacientu ceļu un uz starptautiski atzītām vadlīnijām profesionāļu izstrādātu klīnisko algoritmu izstrāde, aktualizēšana un ieviešana tiks nodrošināta bez jebkādas tiešas vai netiešas diskriminācijas - neatkarīgi no personas rases, etniskās izcelsmes, ādas krāsas, dzimuma, vecuma, invaliditātes, reliģiskās, politiskās vai citas pārliecības, nacionālās vai sociālās izcelsmes;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veselības aprūpes personāla zināšanu un prasmju pilnveidošana pacientu drošības un veselības aprūpes kvalitātes vadības jautājumos tiks nodrošināta bez jebkādas tiešas vai netiešas diskriminācijas - neatkarīgi no personas rases, etniskās izcelsmes, ādas krāsas, dzimuma, vecuma, invaliditātes, reliģiskās, politiskās vai citas pārliecības, nacionālās vai sociālās izcelsmes;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pacientu un veselības aprūpes personāla pieredzes uzlabošana par saņemtajiem veselības aprūpes pakalpojumiem, kā arī pacientu aprūpes nepārtrauktības un aprūpes kvalitātes nodrošināšana veicinās valsts apmaksāto veselības aprūpes pakalpojumu klāsta saņemšanu visiem Latvijas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vai tiek noteikts </w:t>
      </w:r>
      <w:r w:rsidR="00000000" w:rsidRPr="00000000" w:rsidDel="00000000">
        <w:rPr>
          <w:b w:val="1"/>
          <w:rtl w:val="0"/>
        </w:rPr>
        <w:t xml:space="preserve">vismaz viens horizontālā principa “Vienlīdzība, iekļaušana, nediskriminācija un pamattiesību ievērošana” rādītājs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izstrādāto vai pilnveidoto stratēģiju, izglītības programmu, metodisko līdzekļu, vadlīniju, mācību līdzekļu (tai skaitā digitālo), skaits, kuros integrēti jautājumi par dzimumu līdztiesību, personu ar invaliditāti vienlīdzīgām iespējām, diskriminācijas novēršanu vecuma, etniskās piederības un citu iemeslu dēļ, kā arī pamattiesību jautājumi, tostarp par tiesiskajiem un praktiskajiem aspektiem (VINPI_02.1).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projekta iesniegumā vai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norādītas projekta budžeta izmaksu pozīcijas, kuras veicina HP VINPI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identificētas galvenās problēmas, kas skar mērķa grupu, jomā, kurā darbojas projekta iesniedzējs un apraksts, kā projektā paredzētās HP VINPI darbības risinās identificētās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ir sniegta informācija par projekta vadības un īstenošanas personālu dalījumā pēc dzimuma u.c. pazīmes (vai plānots sniegt) un sniegta (vai plānots sniegt) informācija sadalījumā pēc dzimumu u.c. pazīmes par projekta mērķa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paskaidrots, kā projektu vadībā un īstenošanā tiks nodrošināta nediskriminācija pēc vecuma, dzimuma, etniskās piederības u.c. pazīmes un virzīti pasākumi, kas veicina nediskrimināciju un pamattiesību 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Informācijai jābūt sagatavotai, balstoties, piemēram, uz konsultācijām ar valsts, pašvaldību institūcijām vai nevalstiskajām organizācijām, kas pārstāv mērķa grupu intereses, dažādiem pieejamiem statistikas datiem, pētījumiem u.c. datu avotiem, kas raksturo attiecīgās mērķa grupas situāciju.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Plānotajām vispārīgajām HP VINPI darbībām jāaptver visas vispārīgo darbību jomas – informāciju un publicitāti, projekta vadību un īstenošanu un publiskos iepirkumus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Pasākumam nav ietekmes uz horizontālajiem principiem “Klimatdrošināšana”, “Energoefektivitāte pirmajā vietā” un “Nenodarīt būtisku kaitējumu”, savukārt, uz horizontālo principu “Vienlīdzība, iekļaušana, nediskriminācija un pamattiesību ievērošana” ir netieša ietekme, attiecīgi projektu iesniegumu atlasē vērtējot kritēriju vai projektā paredzētas darbības, kas veicina horizontālā principa ”Vienlīdzība, iekļaušana, nediskriminācija un pamattiesību ievērošana”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 atbalstāmo darbību īstenošanai nepieciešams veikt iepirkumu, finansējuma saņēmējs veic sociāli atbildīgu publisko iepirkumu saskaņā ar Iepirkumu uzraudzības biroja sagatavoto informāciju par Sociāli atbildīgu publisko iepirkumu, kā arī Latvijas Sociālās uzņēmējdarbības asociācijas izstrādātajām “Vadlīnijām sociāli atbildīga publiskā iepirkuma īstenošanai”, pienācīgi ievērojot tādus principus kā personu ar invaliditāti vienlīdzīgu iespēju principu visās dzīves jomās, personai piemītošās cieņas, personīgās patstāvības un neatkarības, t.sk. personīgās izvēles brīvības un personas neatkarības ievērošanas, diskriminācijas aizlieguma principu, piekļūstamības principu, līdzdalības principu, iekļaušanas principu un izpratnes veicināšanas principu, neveicinot nelabvēlīgākā situācijā esošu grupu segregāciju/ izolāciju, piemēram, personu ar invaliditāti un migrantu izcelsmes personu segregāciju/ izolāciju.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Starpreģionālās, pārrobežu un transnacionālās darbības ietvaros, intervence tiek īstenota papildinātībā ar Eiropas Savienības stratēģiju Baltijas jūras reģionam (turpmāk - ESSBJR). 4.1.2.SAM paredzētās darbības var sniegt ieguldījumu ESSBJR politikas virziena “Veselība” īstenošanā. Pasākuma ietvaros īstenotās investīcijas uzlabos Latvijas iedzīvotāju veselību, pagarinot labā veselībā nodzīvoto mūžu, novēršot priekšlaicīgu mirstību un mazinot nevienlīdzību veselības jomā. Tāpat pasākuma ietvaros paredzētie pasākumi vienlaicīgi veicinās arī Latvijas ekonomiskās izaugsmes, labklājības līmeņa celšanos un ESSBJR apakšmērķa “celt labklājību” sasniegšanu.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Nepieciešamības gadījumā finansējuma saņēmējs var plānot arī inovatīvu iepirkumu.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23-TA-2242</w:t>
    </w:r>
    <w:r>
      <w:br/>
    </w:r>
    <w:r w:rsidR="00000000" w:rsidRPr="00000000" w:rsidDel="00000000">
      <w:rPr>
        <w:rtl w:val="0"/>
      </w:rPr>
      <w:t xml:space="preserve">Izdrukāts 29.07.2026. 23.18 - 4.0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23-TA-2242</w:t>
    </w:r>
    <w:r>
      <w:br/>
    </w:r>
    <w:r w:rsidR="00000000" w:rsidRPr="00000000" w:rsidDel="00000000">
      <w:rPr>
        <w:rtl w:val="0"/>
      </w:rPr>
      <w:t xml:space="preserve">Izdrukāts 29.07.2026. 23.18 - 4.0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anotācija_(ex_ante)_23-TA-2242.docx</dc:title>
</cp:coreProperties>
</file>

<file path=docProps/custom.xml><?xml version="1.0" encoding="utf-8"?>
<Properties xmlns="http://schemas.openxmlformats.org/officeDocument/2006/custom-properties" xmlns:vt="http://schemas.openxmlformats.org/officeDocument/2006/docPropsVTypes"/>
</file>