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aģentūras "Latvijas Nacionālais akreditācijas birojs" 2026.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valsts aģentūras "Latvijas Nacionālais akreditācijas birojs" 2026. gada budžeta apstiprināšanu" projekts (turpmāk – rīkojuma projekts) ir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14. panta pirmo un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un pamatot, kādi līdzekļi nepieciešami valsts aģentūrai "Latvijas Nacionālais akreditācijas birojs" (turpmāk – Aģentūra) tās pienākumu izpildei, kuru finansēšana noteikta ar likumdošanas aktiem, nodrošinot, lai tajā laikposmā, kuram šie līdzekļi paredzēti, izdevumus segtu atbilstoši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1. marta nacionālās akreditācijas institūcijas funkcijas, kas noteiktas likumā "Par atbilstības novērtēšanu", kā arī citos normatīvajos aktos pilda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Ekonomikas ministra pārraudzībā esoša iestāde, kas pilda likuma “Par atbilstības novērtēšanu” 14. panta pirmajā daļā noteiktās nacionālās akreditācijas institūcijas funkcijas un tiek finansēta, ievērojot šī panta trešajā daļā noteikto kārtību, proti, no valsts budžeta līdzfinansējuma un pašu ieņēmumiem par sniegtajiem pakalpojumiem. Aģentūra savus pakalpojumus atbilstības novērtēšanas institūcijām sniedz saskaņā ar Ministru kabineta 2022. gada 25. oktobra noteikumiem Nr. 666 ”Valsts aģentūras “Latvijas Nacionālais akreditācijas birojs”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2025. gada budžets tika apstiprināts ar Ministru kabineta 2024. gada 10. oktobra rīkojumu Nr. 804 “Par valsts aģentūras “Latvijas Nacionālais akreditācijas birojs” 2025. gada budžeta apstiprināšanu" (turpmāk - Rīkojums Nr. 804), ar kuru ir apstiprināti Aģentūras 2025. gada budžeta ieņēmumi 1 243 465 euro apmērā un izdevumi 1 243 465 euro apmērā atbilstoši šā rīkojuma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budžetu un finanšu vadību 41. panta 1.daļas 1.</w:t>
      </w:r>
      <w:r w:rsidR="00000000" w:rsidRPr="00000000" w:rsidDel="00000000">
        <w:rPr>
          <w:vertAlign w:val="superscript"/>
          <w:rtl w:val="0"/>
        </w:rPr>
        <w:t xml:space="preserve">1</w:t>
      </w:r>
      <w:r w:rsidR="00000000" w:rsidRPr="00000000" w:rsidDel="00000000">
        <w:rPr>
          <w:rtl w:val="0"/>
        </w:rPr>
        <w:t xml:space="preserve"> punkts paredz, ka budžeta nefinansētu iestāžu nākamā gada budžetu projektus apstiprināšanai Ministru kabinetā iesniedz ministrijas (pārraudzības institūcijas) līdz kārtējā gada 1.septembrim, un Ministru kabinets tos apstiprina līdz kārtējā gada 15.septembrim, nepieciešams sagatavot apstiprināšanai rīkojuma projektu (par Aģentūras 2026. gada budžeta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rīkojuma projekts, kas paredz, ka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jāapstiprina Aģentūras 2026. gada budžeta ieņēmumus par laika periodu no 2026. gada 1. janvāra līdz 2026. gada 31. decembrim 1 199 980 euro apmērā un izdevumus 1 199 980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ieņēmumi no maksas pakalpojumiem un citi pašu ieņēmumi, salīdzinājumā ar 2025.gadu,</w:t>
      </w:r>
      <w:r w:rsidR="00000000" w:rsidRPr="00000000" w:rsidDel="00000000">
        <w:rPr>
          <w:b w:val="1"/>
          <w:rtl w:val="0"/>
        </w:rPr>
        <w:t xml:space="preserve"> </w:t>
      </w:r>
      <w:r w:rsidR="00000000" w:rsidRPr="00000000" w:rsidDel="00000000">
        <w:rPr>
          <w:rtl w:val="0"/>
        </w:rPr>
        <w:t xml:space="preserve">samazināsies par 43 485 euro (1 220 655 - 1 177 170 = 43 485 euro). Tas saistīts ar riskos balstītu darbības principu integrāciju ikgadējo akreditācijas uzraudzības procesu ietvaros, kā arī, ņemot vērā Aģentūras pakāpenisku atteikšanos no pārrobežu akreditācijas pakalpojumu sniegšanas, nodrošinot akreditācijas resursu primāru pieejamību Latvijas uzņēmējiem. Tāpat paredzama vairāku akreditēto institūciju apvienošana laboratoriju jomā, kur piecu laboratoriju vietā turpmāk apvienojoties darbosies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salīdzinājumā ar 2025.gadu, plānots izdevumu samazinājums par 43 485 euro (1 243 465 – 1 199 980 = 43 485 euro), kas galvenokārt atspoguļosies Atlīdzības izdevumu samazinājumā par 30 395 euro (1 065 661 - 1 035 266 = 30 395 euro), kā arī plānoto izdevumu "Preces un pakalpojumi" samazinājumā par 13 090 euro (159 804 - 146 714 = 13 090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valsts budžeta transfertu Aģentūrai 2026.gadā 22 810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nemaina esošo regulējumu, kā arī neparedz ieviest jaunas politiskās iniciatīvas, bet skar budžeta apstiprināšanu institūcijai tās deleģēto funkciju veikšanai. Līdz ar to sabiedrības līdzdalība un komunikāciju aktivitātes nav attiecināma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25-TA-1875</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25-TA-1875</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anotācija_(ex_ante)_25-TA-1875.docx</dc:title>
</cp:coreProperties>
</file>

<file path=docProps/custom.xml><?xml version="1.0" encoding="utf-8"?>
<Properties xmlns="http://schemas.openxmlformats.org/officeDocument/2006/custom-properties" xmlns:vt="http://schemas.openxmlformats.org/officeDocument/2006/docPropsVTypes"/>
</file>