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"Zvērinātu revidentu un zvērinātu revidentu komercsabiedrību darba organizācijas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(turpmāk – Direktīva 2022/2464).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2014.gada 16.aprīļa direktīva 2014/56/ES, ar kuru groza Direktīvu 2006/43/EK, ar ko paredz gada pārskatu un konsolidēto pārskatu obligātās revīzijas (turpmāk – Direktīva 2014/56/ES).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 (ES) Nr. 537/2014 par īpašām prasībām attiecībā uz obligātajām revīzijām sabiedriskas nozīmes struktūrās un ar ko atceļ Komisijas Lēmumu 2005/909/EK (turpmāk – Revīzijas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"Zvērinātu revidentu un zvērinātu revidentu komercsabiedrību darba organizācijas noteikumi" izstrādāts, lai normatīvajā regulējumā iekļautu tiesību normas, kas izriet no Direktīvas 2022/2464, Direktīva 2014/56/ES un Revīzijas regulas un attiecas uz zvērinātu revidentu un zvērinātu revidentu komercsabiedrību darba organizāciju, kā arī veiktu citus precizējumus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 februāra noteikumi Nr. 75 "Zvērinātu revidentu un zvērinātu revidentu komercsabiedrību darba organizācijas noteikumi" (turpmāk – MK noteikumi Nr.75) nosaka darba organizācijas prasības zvērinātu revidentu praksei, kas ietver pienākumu izstrādāt iekšējās kvalitātes kontroles politiku un procedūru, lai revīzijas pakalpojumu kvalitatīvai sniegšanai tikti nodrošināta zvērinātu revidentu prakses neatkarība, plānoti pienācīgi resursi, ievērota kārtība revidenta darba dokumentu pārvaldībai, reģistru un revīzijas lietu vešanai. MK noteikumi Nr.75 mērķis ir  nodrošināt pietiekamu pārliecību par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zvērinātu revidentu prakse ievēro gan attiecīgas Latvijā atzītu starptautisko revīzijas standartu prasības, gan arī spēkā esošās normatīvo aktu prasības attiecībā uz iekšējo kvalitātes un riska vadības sistēmu prakses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revīzijas pakalpojuma sniegšanai tiek ievērota neatkarība, objektivitāte un noteiktās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publiskotie revidenta ziņojumi ir atbilstīgi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kompetentajām iestādēm ir iespējams pārliecināties par katras revīzija norisi, tās kvalitāti un tajā iesaistīto personu neatkarību un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minētiem noteikumiem tika pārņemti ar Direktīvu 2014/56/ES ieviestie grozījumi Eiropas Parlamenta un Padomes Direktīvā 2006/43/EK (2006. gada 17. maijs), ar ko paredz gada pārskatu un konsolidēto pārskatu obligātās revīzijas, groza Padomes Direktīvu 78/660/EEK un Padomes Direktīvu 83/349/EEK un atceļ Padomes Direktīvu 84/253/EEK  (turpmāk - Revīzijas direktīva) (ar Direktīvu 2014/56/ES paredzētie grozījumi 21.pantā un 22.pantā, kā arī Revīzijas direktīvas jaunais 24.a. un 25.b.pants).  MK noteikumi Nr.75  ir izdoti saskaņā ar Revīzijas pakalpojumu likuma 31.</w:t>
      </w:r>
      <w:r w:rsidR="00000000" w:rsidRPr="00000000" w:rsidDel="00000000">
        <w:rPr>
          <w:vertAlign w:val="superscript"/>
          <w:rtl w:val="0"/>
        </w:rPr>
        <w:t xml:space="preserve">1</w:t>
      </w:r>
      <w:r w:rsidR="00000000" w:rsidRPr="00000000" w:rsidDel="00000000">
        <w:rPr>
          <w:rtl w:val="0"/>
        </w:rPr>
        <w:t xml:space="preserve">pantā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Direktīva 2022/2464 paredz, ka finanšu pārskatu revīzijai un ilgtspējas ziņojuma  pārbaudei, ko veic obligātais revidents, ir piemēroti konsekventi noteikumi, tostarp noteikumi attiecībā uz revidenta prakses darba organizāciju un iekšējo kvalitātes kontroles vidi. Minētās prasības ir nepieciešamas pārņemt un integrēt arī MK noteikumos Nr. 75.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precizējumi ir nepieciešami gandrīz katrā minēto MK noteikumu Nr. 75 punktā, dodot atsauci uz ilgtspējas ziņojuma apliecinājuma pakalpojumu sniedzēju iezīmēm, lai tās ir līdzvērtīgas tām, kas šobrīd ir noteiktas revīzijas pakalpojumu sniedzējam, MK noteikumu Nr. 75 pārskatāmības nolūkos šie noteikumi ir sagatavoti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aptver sekojošus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prasība, kas noteic, ka šie noteikumi ir piemērojami zvērinātam revidentam un zvērinātu revidentu komercsabiedrībai, kas sniedz revīzijas pakalpojumus un arī ilgtspējas ziņojuma apliecinājuma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Zvērinātu revidentu prakses darba organizācija un resursu plānošanu. Revīzijas pakalpojumu un ilgtspējas ziņojuma apliecinājuma pakalpojumu sniedzējam ir pienākums ieviest iekšējā darba organizācijas politikas un procedūras. Turklāt revīzijas vai ilgtspējas ziņojuma pārbaudes laikā tā veicējam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 skeptisku attieksmi, it īpaši, izvērtējot klienta vadības veiktās aplēses attiecībā uz aktīvu patieso vērtību un tās samazināšanos, uzkrājumiem un nākotnē sagaidāmo naudas plūsmu, kas ir būtiski klienta darbības turpināšanai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ievērot, uzturēt, aktualizēt un pārraudzīt prakses iekšējās kvalitātes vadības sistēmu,  lai nodrošinātu kompetentajai iestādei pamatotu pārliecību par to, ka šīs prakses vadība, darbinieki, revīzijas uzdevuma vai attiecīgi ilgtspējas ziņojuma apliecinājuma uzdevuma veikšanā iesaistītie zvērināti revidenti un atbildīgie zvērināti revidenti rīkojas neatkarīgi, objektīvi, saskaņā ar noteiktajām politikām  un procedūrām un Revīzijas regulas prasībām un, ka revidentu ziņojumi ir atbilstīgi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piešķirt atbildīgajam zvērinātajam revidentam vai galvenajam ilgtspējas revidentam pietiekamus resursus revīzijas vai attiecīgi – ilgtspējas ziņojuma pārbaudes veikšanai, tajā skaitā,  personālu, kuram ir nepieciešamā kompetence un spējas pienācīgai uzdevuma izpildei, kā arī pietiekami ilgu laiku, lai pienācīgi veiktu darbu un sagatavotu apstākļiem atbilstīgu revidenta ziņojumu vai attiecīgi - apliecinājuma ziņojumu par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pārvaldības, reģistru un lietu veidošanas prasības zvērinātiem revidentiem un zvērinātu revidentu komercsabiedrībām. Zvērinātu revidentu prakses pienākums ir sagatavot revīzijas un attiecīgi – ilgtspējas ziņojuma pārbaudes darba dokumentus, kārtot klientu uzskaites reģistru un katram revīzijas uzdevumam un attiecīgi – ilgtspējas ziņojuma apliecinājuma uzdevumam iekārtot atsevišķu lietu.  Zvērinātu revidentu praksei ir pienākums veikt uzskaiti par jebkādām rakstveida sūdzībām attiecībā uz veiktās revīzijas  vai ilgtspējas ziņojuma pārbaudes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3. pants paredz grozījumus Revīzijas direktīvā, papildinot to ar 25.b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"Profesionālā ētika, neatkarība, objektivitāte, konfidencialitāte un dienesta noslēpums attiecībā uz ilgtspējas ziņu sniegšanas ticamības apliecināšanu"</w:t>
      </w:r>
      <w:r w:rsidR="00000000" w:rsidRPr="00000000" w:rsidDel="00000000">
        <w:rPr>
          <w:rtl w:val="0"/>
        </w:rPr>
        <w:t xml:space="preserve">. 25.b pants noteic, ka Revīzijas direktīvas 21.–24.a panta prasības attiecībā uz finanšu pārskatu obligāto revīziju </w:t>
      </w:r>
      <w:r w:rsidR="00000000" w:rsidRPr="00000000" w:rsidDel="00000000">
        <w:rPr>
          <w:i w:val="1"/>
          <w:rtl w:val="0"/>
        </w:rPr>
        <w:t xml:space="preserve">mutatis mutandis</w:t>
      </w:r>
      <w:r w:rsidR="00000000" w:rsidRPr="00000000" w:rsidDel="00000000">
        <w:rPr>
          <w:rtl w:val="0"/>
        </w:rPr>
        <w:t xml:space="preserve"> attiecas arī uz ilgtspējas ziņu sniegšanas ticamības apliecināšanu. No minētajiem Revīzijas direktīvas pantiem 24.a pants paredz nosacījumus zvērinātu revidentu un zvērinātu revidentu komercsabiedrību darba organizācijai. Šie nosacījumi jau ir iestrādāti: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Revīzijas pakalpojumu likuma 31.</w:t>
      </w:r>
      <w:r w:rsidR="00000000" w:rsidRPr="00000000" w:rsidDel="00000000">
        <w:rPr>
          <w:vertAlign w:val="superscript"/>
          <w:rtl w:val="0"/>
        </w:rPr>
        <w:t xml:space="preserve">1 </w:t>
      </w:r>
      <w:r w:rsidR="00000000" w:rsidRPr="00000000" w:rsidDel="00000000">
        <w:rPr>
          <w:rtl w:val="0"/>
        </w:rPr>
        <w:t xml:space="preserve">pantā, kas noteic, ka Ministru kabinets nosaka darba organizācijas, resursu plānošanas, dokumentu pārvaldības, reģistru un lietu veidošanas prasības zvērinātiem revidentiem un zvērinātu revidentu komercsabiedrībām;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 75, kad tajos tika pārņemtas Revīzijas direktīvas 24.a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Revīzijas direktīvas 24.a panta prasības ir jāattiecina arī uz ilgtspējas ziņu sniegšanas ticamības apliecināšanu.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Revīzijas pakalpojumu likumā"  (Latvijas Vēstnesis, 2024, 193. nr.), kas stājas spēkā 2024. gada 17. oktobrī, (turpmāk – Grozījumi Revīzijas pakalpojumu likumā), un ar kuriem tiek pārņemtas Direktīvas 2022/2464 prasības, paredz, ka Revīzijas pakalpojumu likuma 2. panta 2.</w:t>
      </w:r>
      <w:r w:rsidR="00000000" w:rsidRPr="00000000" w:rsidDel="00000000">
        <w:rPr>
          <w:vertAlign w:val="superscript"/>
          <w:rtl w:val="0"/>
        </w:rPr>
        <w:t xml:space="preserve">1</w:t>
      </w:r>
      <w:r w:rsidR="00000000" w:rsidRPr="00000000" w:rsidDel="00000000">
        <w:rPr>
          <w:rtl w:val="0"/>
        </w:rPr>
        <w:t xml:space="preserve"> daļa noteic, ka šajā likumā revīzijas pakalpojumam noteiktās prasības un revīzijas pakalpojuma sniedzējam noteiktie nosacījumi, pienākumi un tiesības, kā arī šā pakalpojuma sniedzēja uzraudzība, attiecas arī uz ilgtspējas ziņojuma apliecinājuma pakalpojumu un tā sniedzēju, izņemot šajā likumā noteiktos gadījumus, kad ilgtspējas ziņojuma apliecinājuma pakalpojumam un tā sniedzējam ir paredzētas konkrētas prasības. Līdz ar to Revīzijas pakalpojumu likuma 31.</w:t>
      </w:r>
      <w:r w:rsidR="00000000" w:rsidRPr="00000000" w:rsidDel="00000000">
        <w:rPr>
          <w:vertAlign w:val="superscript"/>
          <w:rtl w:val="0"/>
        </w:rPr>
        <w:t xml:space="preserve">1 </w:t>
      </w:r>
      <w:r w:rsidR="00000000" w:rsidRPr="00000000" w:rsidDel="00000000">
        <w:rPr>
          <w:rtl w:val="0"/>
        </w:rPr>
        <w:t xml:space="preserve">pantā noteiktās  prasības par darba organizāciju, resursu plānošanu, dokumentu pārvaldību, reģistru un lietu veidošanu (kuras nosaka Ministru kabinets), ir jāattiecina arī uz ilgtspējas ziņojuma apliecinājuma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paredzēt, ka MK noteikumu prasības attiecas arī uz zvērinātiem revidentiem un zvērinātu revidentu komercsabiedrībām, kas sniedz ilgtspējas ziņojuma apliecinājuma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ka arī uz ilgtspējas ziņojuma apliecinājuma pakalpojumu un tā sniedzējiem attiecas noteikumos aprakstītā kārtība un nosacījumi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organizāciju un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pārvaldību, reģistru un lietu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normas būtu skaidras un saprotamas to lietotājam, Noteikumu projekta 2. punktā tiek noteikts, ka Noteikumu projektā lietotie termini "revīzijas pakalpojums" un "ilgtspējas ziņojuma apliecinājuma pakalpojums" turpmāk Noteikumu projekta tekstā, kopā lietojot, tiek saukti par "profesionālajiem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tālākajā tekstā, t.i., 7., 9., 10., 12., 13., 14., 15., 16., 17. un 21. punktā tiek lietots termins "profesionālais pakalpojums"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3. pants paredz grozījumus arī Revīzijas direktīvas 24.b pantā "Darba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iekļaut šos grozījumus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iekļauj prasības, kas attiecas arī uz ilgtspējas ziņojuma apliecinājuma pakalpojuma sniegšanu, tas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punktā tiek noteikts pienākums  katram ilgtspējas ziņojuma apliecinājuma pakalpojumam veltīt  pietiekami ilgu laiku, lai, ievērojot Revīzijas pakalpojumu likumā noteiktās prasības, varētu izpildīt līguma par attiecīgā profesionālā pakalpojuma sniegšanu saistības, kā arī nodrošināt attiecīgā profesionālā pakalpojuma kvalitatīvai sniegšanai nepieciešamos resursus. Savukārt 6. punkts noteic, ka zvērinātu revidentu komercsabiedrība, ieceļot par revīzijas pakalpojuma sniegšanu atbildīgo zvērinātu revidentu vai par ilgtspējas ziņojuma apliecinājuma pakalpojuma sniegšanu - galveno ilgtspējas revidentu (turpmāk atbildīgais zvērināts revidents un galvenais ilgtspējas revidents kopā – atbildīgais revidents) novērtē atbildīgā revidenta spēju minēto profesionālo pakalpojumu sniegt pienācīgā kvalitātē, viņa neatkarību, objektivitāti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24.2. apakšpunktā un 24.3. apakšpunktā tiek noteikts, ka klientu uzskaites reģistrā ir jānorāda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galvenā ilgtspējas revidenta vārds, uzvārds un zvērināta revidenta sertifikāta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pārskata gadā saņemtā atlīdzība par profesionālajiem pakalpojumiem (t.i., iekļaujot arī maksu par ilgtspējas ziņojuma apliecinājuma pakalpojumu) sadalījumā pa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28.</w:t>
      </w:r>
      <w:r w:rsidR="00000000" w:rsidRPr="00000000" w:rsidDel="00000000">
        <w:rPr>
          <w:vertAlign w:val="superscript"/>
          <w:rtl w:val="0"/>
        </w:rPr>
        <w:t xml:space="preserve"> </w:t>
      </w:r>
      <w:r w:rsidR="00000000" w:rsidRPr="00000000" w:rsidDel="00000000">
        <w:rPr>
          <w:rtl w:val="0"/>
        </w:rPr>
        <w:t xml:space="preserve">punktā tiek noteikta prasība pašnodarbinātam zvērinātam revidentam un zvērinātu revidentu komercsabiedrībai iekārtot katram ilgtspējas ziņojuma apliecinājuma pakalpojumam atsevišķu apliecinājuma lietu. 27. punktā un 28. punktā skaidri tiek pateikts, ko nozīmē katras revīzijas uzdevuma lietas un katra ilgtspējas ziņojuma apliecinājuma uzdevuma lietas slēgšana, t.i., attiecīgo lietu slēdz tādā veidā, lai pēc uzdevuma pabeigšanas, tajā ietilpstošie revidenta darba dokumenti un citas ziņas nevar tikt izmainītas;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punktā un 30.</w:t>
      </w:r>
      <w:r w:rsidR="00000000" w:rsidRPr="00000000" w:rsidDel="00000000">
        <w:rPr>
          <w:vertAlign w:val="superscript"/>
          <w:rtl w:val="0"/>
        </w:rPr>
        <w:t xml:space="preserve"> </w:t>
      </w:r>
      <w:r w:rsidR="00000000" w:rsidRPr="00000000" w:rsidDel="00000000">
        <w:rPr>
          <w:rtl w:val="0"/>
        </w:rPr>
        <w:t xml:space="preserve">punktā tiek noteikta šo noteikumu 28. punktā minētajā ilgtspējas ziņojuma apliecinājuma pakalpojuma lietā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Revīzijas un apliecinājuma standartu padome (International Auditing and Assurance Standards Board — IAASB) ir izstrādājusi standartu - 1. Starptautisko kvalitātes vadības standartu (iepriekš 1. Starptautiskais kvalitātes kontroles standarts) "Kvalitātes vadība firmās, kas veic vēsturiskās finanšu informācijas revīziju vai pārbaudi vai sniedz citus apliecinājuma vai saistītos pakalpojumus". Minētais standarts stājās spēkā 2022. gada 15. decembrī. Saskaņā ar šo standartu turpmāk pašnodarbinātam zvērinātam revidentam un zvērinātu revidentu komercsabiedrībai ir jāizstrādā ar profesionālo pakalpojumu sniegšanu saistīta iekšējās kvalitātes vadības sistēma, kvalitātes vadības politika un jāievieš attiecīgās kontroles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Noteikumu projektā minēt šo jauno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 apakšpunktā tiek dota atsauce uz jauno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standartu - 1. Starptautisko kvalitātes vadības standartu "Kvalitātes vadība firmās, kas veic vēsturiskās finanšu informācijas revīziju vai pārbaudi vai sniedz citus apliecinājuma vai saistītos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Direktīvas 2022/2464 3. panta 12. punktu grozītā Revīzijas direktīvas 24.b. panta jaunā 5.a punkta pēdējā daļa noteic, ka, ja gada finanšu pārskatu obligāto revīziju un ilgtspējas ziņu sniegšanas ticamības apliecināšanu veic viens un tas pats obligātais revidents, ticamības apliecināšanas lietu var iekļaut revīzijas lietā. Līdz ar to tiek dota izvēles iespēja Eiropas Savienības dalībvalstīm piemērot šādu nosacījumu.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izvēlas šo iespēju un ar Noteikumu projekta </w:t>
      </w:r>
      <w:r w:rsidR="00000000" w:rsidRPr="00000000" w:rsidDel="00000000">
        <w:rPr>
          <w:rtl w:val="0"/>
        </w:rPr>
        <w:t xml:space="preserve">31.</w:t>
      </w:r>
      <w:r w:rsidR="00000000" w:rsidRPr="00000000" w:rsidDel="00000000">
        <w:rPr>
          <w:rtl w:val="0"/>
        </w:rPr>
        <w:t xml:space="preserve"> punktā noteic, ka, ja klienta gada pārskata un konsolidēto gada pārskata (ja tāds ir jāsagatavo) revīziju un ilgtspējas ziņojuma apliecinājuma uzdevumu veic viens un tas pats atbildīgais zvērināts revidents, šo noteikumu 28. punktā minēto lietu var iekļaut šo noteikumu 25. punktā minētajā revīzijas lietā.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šobrīd spēkā esošās MK noteikumu Nr. 75 normas ar Noteikumu projektu netiks izteiktas jaunā redakcijā, bet tās joprojām ir aktuālas un ir iekļaujamas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MK noteikumiem Nr. 75 uz Noteikumu projektu pārceltās normas tiek iekļautas Noteikumu projekta 4., 18., 22., 26. un 32. punktā. Vienlaicīgi ar Noteikumu projektu MK noteikumi Nr. 75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skar zvērinātus revidentus, kas sniedz revīzijas pakalpojumus un ilgtspējas ziņojuma apliecinājuma pakalpojumus kā individuālie komersanti vai pašnodarbinātas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arī uz ilgtspējas ziņojuma apliecinājuma pakalpojuma sniedzējiem -  zvērinātiem revidentiem attiecas MK noteikumos aprakstītā kārtība un nosacījumi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organizāciju un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pārvaldību, reģistru un lietu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atsevišķi tiek paredzēta prasība pašnodarbinātam zvērinātam revidentam iekārtot katram ilgtspējas ziņojuma apliecinājuma pakalpojumam atsevišķu apliecinājuma 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Zvērinātam revidentam ir noteikts pienākums turpmāk izstrādāt ar profesionālo pakalpojumu sniegšanu saistītu iekšējās kvalitātes vadības sistēmu, kvalitātes vadības politiku un ieviest attiecīgās iekšējās kontroles procedūras saskaņā ar Starptautiskās Revīzijas un apliecinājuma standartu padomes (International Auditing and Assurance Standards Board — IAASB) izstrādāto standartu - Starptautisko kvalitātes vadības standartu Nr. 1 (iepriekš 1. Starptautiskais kvalitātes kontroles standarts) "Kvalitātes vadība firmās, kas veic vēsturiskās finanšu informācijas revīziju vai pārbaudi vai sniedz citus apliecinājuma vai saistītos pakalpojumus" (stājās spēkā 2022. gada 15.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skar zvērinātu revidentu komercsabiedrības, kas sniedz revīzijas pakalpojumus un ilgtspējas ziņojuma apliecinājuma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arī uz ilgtspējas ziņojuma apliecinājuma pakalpojuma sniedzējiem -  zvērinātu revidentu komercsabidrību attiecas Noteikumu projektā aprakstītā kārtība un nosacījumi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organizāciju un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pārvaldību, reģistru un lietu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atsevišķi tiek paredzēta prasība zvērinātu revidentu komercsabiedrībai iekārtot katram ilgtspējas ziņojuma apliecinājuma pakalpojumam atsevišķu apliecinājuma 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komercsabiedrībai ir noteikts pienākums turpmāk izstrādāt ar profesionālo pakalpojumu sniegšanu saistītu iekšējās kvalitātes vadības sistēmu, kvalitātes vadības politiku un ieviest attiecīgās kontroles procedūras saskaņā ar Starptautiskās Revīzijas un apliecinājuma standartu padomes (International Auditing and Assurance Standards Board — IAASB) izstrādāto standartu - Starptautisko kvalitātes vadības standartu Nr. 1 (iepriekš 1. Starptautiskais kvalitātes kontroles standarts) "Kvalitātes vadība firmās, kas veic vēsturiskās finanšu informācijas revīziju vai pārbaudi vai sniedz citus apliecinājuma vai saistītos pakalpojumus" (stājās spēkā 2022. gada 15.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Zvērināti revidenti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Šobrīd plānotās administratīvās izmaksas nav paredzamas, jo minēta apliecinājuma pakalpojuma sniegšanas pienākums nav obligāts  visiem zvērinātiem revidentiem vai zvērinātu revidentu komercsabiedrībām. Turklāt klients var brīvi izvēlēties to zvērināto revidentu vai zvērinātu revidentu komercsabiedrību, kura ir tiesīga šo apliecinājuma pakalpojumu sniegt. Līdz ar to attiecībā uz ilgtspējas ziņojuma apliecinājuma pakalpojumu, ko sniegs zvērināti revidenti un zvērinātu revidentu komercsabiedrības, un ar šī pakalpojuma sniegšanu saistītajām izmaksām nav anotācijā nosakāms konkrēts apmērs, kā arī netiek piemērota vienota metodika šī pakalpojuma un ar to saistīto izmaksu apmēra noteikšanai.</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Zvērinātu revidentu komercsabiedrības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Šobrīd plānotās administratīvās izmaksas nav paredzamas, jo minēta apliecinājuma pakalpojuma sniegšanas pienākums nav obligāts  visiem zvērinātiem revidentiem vai zvērinātu revidentu komercsabiedrībām. Turklāt klients var brīvi izvēlēties to zvērināto revidentu vai zvērinātu revidentu komercsabiedrību, kura ir tiesīga šo apliecinājuma pakalpojumu sniegt. Līdz ar to attiecībā uz ilgtspējas ziņojuma apliecinājuma pakalpojumu, ko sniegs zvērināti revidenti un zvērinātu revidentu komercsabiedrības, un ar šī pakalpojuma sniegšanu saistītajām izmaksām nav anotācijā nosakāms konkrēts apmērs, kā arī netiek piemērota vienota metodika šī pakalpojuma un ar to saistīto izmaksu apmēra noteikšanai.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noteikumu projekts Grozījumi Ministru kabineta 2017. gada 7. marta noteikumos Nr. 136 "Noteikumi par revīzijas pakalpojumu kvalitātes kontroles prasību ievērošanas pārbaudi un pilnvaroto pārstāvju kvalifikācijas prasībām"" (24-TA-915).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Grozījumi Ministru kabineta 2017. gada 7. marta noteikumos Nr. 136 "Noteikumi par revīzijas pakalpojumu kvalitātes kontroles prasību ievērošanas pārbaudi un pilnvaroto pārstāvju kvalifikācijas prasībām"" (24-TA-915) ir izstrādāts, lai saskaņotu Ministru kabineta 2017. gada 7. marta noteikumus Nr. 136 "Noteikumi par revīzijas pakalpojumu kvalitātes kontroles prasību ievērošanas pārbaudi un pilnvaroto pārstāvju kvalifikācijas prasībām" (turpmāk – Ministru kabineta noteikumi Nr. 136) ar Grozījumiem Revīzijas pakalpojumu likumā. Noteikumu projekts attiecas uz revīzijas pakalpojumu kvalitātes kontroles prasību ievērošanas pārbaudes ietvaros veikto ilgtspējas ziņojuma apliecinājuma pakalpojuma kvalitātes pārbaudi, tās plānošanas un organizēšanas un ziņošanas kārtību un kvalifikācijas prasībām pārbaudes veicējiem.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32022L2464, 32014L0056 un 02014R0537-20240109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
Eiropas Parlamenta un Padomes 2014.gada 16.aprīļa direktīva 2014/56/ES, ar kuru groza Direktīvu 2006/43/EK, ar ko paredz gada pārskatu un konsolidēto pārskatu obligātās revīzijas (publicēta "Eiropas Savienības Oficiālajā Vēstnesī" L 158, 27.05.2014., 196./226. lpp).
Eiropas Parlamenta un Padomes Regula (ES) Nr. 537/2014 (2014. gada 16. aprīlis) par īpašām prasībām attiecībā uz obligātajām revīzijām sabiedriskas nozīmes struktūrās un ar ko atceļ Komisijas Lēmumu 2005/909/EK (publicēta "Eiropas Savienības Oficiālajā Vēstnesī" L 158, 27.05.2014., 77. lpp).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2022/2464 paredz noteikumus attiecībā uz ilgtspējas ziņojuma un konsolidēto ilgtspējas ziņojuma (ja ir pienākums tādu sagatavot) sagatavošanu un ilgtspējas ziņojuma un konsolidētā ilgtspējas ziņojuma (ja ir pienākums tādu sagatavot) apliecinājuma veikšanu un to veicēju kompetenci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2014/56/ES paredz nosacījumus to personu apstiprināšanai un reģistrācijai, kuras veic obligāto revīziju, noteikumus par neatkarību, objektivitāti un profesionālo ētiku, darba organizāciju, kas attiecas uz minētajām personām, kā arī to publiskās pārraudzības un sankciju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regula paredz prasības gada un konsolidēto finanšu pārskatu obligātās revīzijas veikšanai sabiedriskas nozīmes struktūrās, noteikumus par sabiedriskas nozīmes struktūru veikto obligāto revidentu un revīzijas uzņēmumu organizāciju un atlasi.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
Eiropas Parlamenta un Padomes 2014.gada 16.aprīļa direktīva 2014/56/ES, ar kuru groza Direktīvu 2006/43/EK, ar ko paredz gada pārskatu un konsolidēto pārskatu obligātās revīzijas (publicēta "Eiropas Savienības Oficiālajā Vēstnesī" L 158, 27.05.2014., 196./226. lpp).
Eiropas Parlamenta un Padomes Regula (ES) Nr. 537/2014 (2014. gada 16. aprīlis) par īpašām prasībām attiecībā uz obligātajām revīzijām sabiedriskas nozīmes struktūrās un ar ko atceļ Komisijas Lēmumu 2005/909/EK (publicēta "Eiropas Savienības Oficiālajā Vēstnesī" L 158, 27.05.2014., 77. lpp).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14. punktu grozītās Revīzijas direktīvas jaunais 25.b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7., 9., 10., 12., 13., 14., 15., 16., 17. punkts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un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jaunais 2.a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4. punkta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4.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jaunais 5.a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29., 30. un 31.</w:t>
            </w:r>
            <w:r w:rsidR="00000000" w:rsidRPr="00000000" w:rsidDel="00000000">
              <w:rPr>
                <w:sz w:val="24"/>
                <w:rtl w:val="0"/>
              </w:rPr>
              <w:t xml:space="preserve"> </w:t>
            </w:r>
            <w:r w:rsidR="00000000" w:rsidRPr="00000000" w:rsidDel="00000000">
              <w:rPr>
                <w:sz w:val="24"/>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12. punktu grozītās Revīzijas direktīvas 24.b.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1.panta  13. punkta "b" apakšpunktu  grozītā Revīzijas direktīvas 21. panta 2.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1.panta  13.punkta "b" apakšpunktu  grozītā Revīzijas direktīvas 21.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1.panta  13.punkta "b" apakšpunktu  grozītā Revīzijas direktīvas 21.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24.a.panta 1. punkta pirmās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punkta pirmais un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13.2. apakšpunkta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punkta otrais un trešais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pievienotais Revīzijas direktīvas 24.a. panta 1. punkta pirmās daļas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pievienotā Revīzijas direktīvas 24.a.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 apakšpunkta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pievienotā Revīzijas direktīvas 24.a.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pievienotā Revīzijas direktīvas 24.a.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13.2. apakšpunkta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pievienotā Revīzijas direktīvas 24.a. panta 2.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12., 15. un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18. punktu pievienotā Revīzijas direktīvas 24.a. panta 2.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 apakšpunkta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1. punkta pirmās daļas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ir pārņemtas arī ar Revīzijas pakalpojumu likuma 31.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1. punkta pirmās daļas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tabulas A ailē minētās ES tiesību akta vienības tika pārņemtas vai ieviestas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ir pārņemtas ar Revīzijas pakalpojumu likuma 31. panta otrās daļas pirmo teikumu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3. punkta pirmās daļas pirmais, trešais un ceturtais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3. punkta pirmās daļas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nav izvēlējusies izmantot šo iespēju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5.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punkta pirmais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5.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punkta otrais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pievienotā Revīzijas direktīvas 24.b. panta 5.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19. punktu pievienotais Revīzijas direktīvas 24.b.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20. punktu pievienotais Revīzijas direktīvas 25.a.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2014/56/ES 1. panta  25. punktu pievienotais Revīzijas direktīvas 30.e.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4., 5., 18., 22., 25.   punkts, 13.2. un 19.2.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regulas 6., 7. 8. un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regulas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un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Ar Direktīvas 2022/2464</w:t>
            </w:r>
            <w:r w:rsidR="00000000" w:rsidRPr="00000000" w:rsidDel="00000000">
              <w:rPr>
                <w:sz w:val="24"/>
                <w:rtl w:val="0"/>
              </w:rPr>
              <w:t xml:space="preserve"> 3. panta 12. punktu grozītās Revīzijas direktīvas </w:t>
            </w:r>
            <w:r w:rsidR="00000000" w:rsidRPr="00000000" w:rsidDel="00000000">
              <w:rPr>
                <w:sz w:val="24"/>
                <w:b w:val="1"/>
                <w:rtl w:val="0"/>
              </w:rPr>
              <w:t xml:space="preserve">24.b. panta jaunā 5.a punkta pēdējā daļa</w:t>
            </w:r>
            <w:r w:rsidR="00000000" w:rsidRPr="00000000" w:rsidDel="00000000">
              <w:rPr>
                <w:sz w:val="24"/>
                <w:rtl w:val="0"/>
              </w:rPr>
              <w:t xml:space="preserve"> noteic, ka, ja gada finanšu pārskatu obligāto revīziju un ilgtspējas ziņu sniegšanas ticamības apliecināšanu veic viens un tas pats obligātais revidents, ticamības apliecināšanas lietu var iekļaut revīzijas lietā. </w:t>
            </w:r>
            <w:r w:rsidR="00000000" w:rsidRPr="00000000" w:rsidDel="00000000">
              <w:rPr>
                <w:sz w:val="24"/>
                <w:b w:val="1"/>
                <w:rtl w:val="0"/>
              </w:rPr>
              <w:t xml:space="preserve">Latvija šo iespēju izmanto</w:t>
            </w:r>
            <w:r w:rsidR="00000000" w:rsidRPr="00000000" w:rsidDel="00000000">
              <w:rPr>
                <w:sz w:val="24"/>
                <w:rtl w:val="0"/>
              </w:rPr>
              <w:t xml:space="preserve"> un Noteikumu projekta </w:t>
            </w:r>
            <w:r w:rsidR="00000000" w:rsidRPr="00000000" w:rsidDel="00000000">
              <w:rPr>
                <w:sz w:val="24"/>
                <w:b w:val="1"/>
                <w:rtl w:val="0"/>
              </w:rPr>
              <w:t xml:space="preserve">31.</w:t>
            </w:r>
            <w:r w:rsidR="00000000" w:rsidRPr="00000000" w:rsidDel="00000000">
              <w:rPr>
                <w:sz w:val="24"/>
                <w:b w:val="1"/>
                <w:vertAlign w:val="superscript"/>
                <w:rtl w:val="0"/>
              </w:rPr>
              <w:t xml:space="preserve"> </w:t>
            </w:r>
            <w:r w:rsidR="00000000" w:rsidRPr="00000000" w:rsidDel="00000000">
              <w:rPr>
                <w:sz w:val="24"/>
                <w:b w:val="1"/>
                <w:rtl w:val="0"/>
              </w:rPr>
              <w:t xml:space="preserve">punktā</w:t>
            </w:r>
            <w:r w:rsidR="00000000" w:rsidRPr="00000000" w:rsidDel="00000000">
              <w:rPr>
                <w:sz w:val="24"/>
                <w:rtl w:val="0"/>
              </w:rPr>
              <w:t xml:space="preserve"> paredz šādu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Ar Direktīvu 2014/56/ES</w:t>
            </w:r>
            <w:r w:rsidR="00000000" w:rsidRPr="00000000" w:rsidDel="00000000">
              <w:rPr>
                <w:sz w:val="24"/>
                <w:rtl w:val="0"/>
              </w:rPr>
              <w:t xml:space="preserve"> veiktie grozījumi Revīzijas direktīvā paredzēja  šādas izvēles iespējas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b w:val="1"/>
                <w:rtl w:val="0"/>
              </w:rPr>
              <w:t xml:space="preserve">24.a. panta 1. punkta  trešā daļa:</w:t>
            </w:r>
            <w:r w:rsidR="00000000" w:rsidRPr="00000000" w:rsidDel="00000000">
              <w:rPr>
                <w:sz w:val="24"/>
                <w:rtl w:val="0"/>
              </w:rPr>
              <w:t xml:space="preserve"> Dalībvalstis var noteikt vienkāršotas prasības Direktīvas 2. panta 1. punkta "b" un "c" apakšpunktā minētajām revīzijām. </w:t>
            </w:r>
            <w:r w:rsidR="00000000" w:rsidRPr="00000000" w:rsidDel="00000000">
              <w:rPr>
                <w:sz w:val="24"/>
                <w:b w:val="1"/>
                <w:rtl w:val="0"/>
              </w:rPr>
              <w:t xml:space="preserve">Latvija šo iespēju izmanto</w:t>
            </w:r>
            <w:r w:rsidR="00000000" w:rsidRPr="00000000" w:rsidDel="00000000">
              <w:rPr>
                <w:sz w:val="24"/>
                <w:rtl w:val="0"/>
              </w:rPr>
              <w:t xml:space="preserve">, un Noteikumu projekta </w:t>
            </w:r>
            <w:r w:rsidR="00000000" w:rsidRPr="00000000" w:rsidDel="00000000">
              <w:rPr>
                <w:sz w:val="24"/>
                <w:b w:val="1"/>
                <w:rtl w:val="0"/>
              </w:rPr>
              <w:t xml:space="preserve">21. punktā</w:t>
            </w:r>
            <w:r w:rsidR="00000000" w:rsidRPr="00000000" w:rsidDel="00000000">
              <w:rPr>
                <w:sz w:val="24"/>
                <w:rtl w:val="0"/>
              </w:rPr>
              <w:t xml:space="preserve"> paredz vienkāršotas prasības zvērinātiem revidentiem un zvērinātu revidentu komercsabiedrībām, kuras veic tikai mazu komercsabiedrību gada pārskata revīzijas vai ierobežotās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b w:val="1"/>
                <w:rtl w:val="0"/>
              </w:rPr>
              <w:t xml:space="preserve">24.b. panta 3. punkta otrais teikums:</w:t>
            </w:r>
            <w:r w:rsidR="00000000" w:rsidRPr="00000000" w:rsidDel="00000000">
              <w:rPr>
                <w:sz w:val="24"/>
                <w:rtl w:val="0"/>
              </w:rPr>
              <w:t xml:space="preserve"> Dalībvalstis var atbrīvot obligātos revidentus un revīzijas uzņēmumus no nenozīmīgu Direktīvas un Revīzijas regulas pārkāpumu reģistrācijas. </w:t>
            </w:r>
            <w:r w:rsidR="00000000" w:rsidRPr="00000000" w:rsidDel="00000000">
              <w:rPr>
                <w:sz w:val="24"/>
                <w:b w:val="1"/>
                <w:rtl w:val="0"/>
              </w:rPr>
              <w:t xml:space="preserve">Latvija šo iespēju neizmanto</w:t>
            </w:r>
            <w:r w:rsidR="00000000" w:rsidRPr="00000000" w:rsidDel="00000000">
              <w:rPr>
                <w:sz w:val="24"/>
                <w:rtl w:val="0"/>
              </w:rPr>
              <w:t xml:space="preserve">, tādēļ Noteikumu projekta </w:t>
            </w:r>
            <w:r w:rsidR="00000000" w:rsidRPr="00000000" w:rsidDel="00000000">
              <w:rPr>
                <w:sz w:val="24"/>
                <w:b w:val="1"/>
                <w:rtl w:val="0"/>
              </w:rPr>
              <w:t xml:space="preserve">14. punkta pirmajā teikumā</w:t>
            </w:r>
            <w:r w:rsidR="00000000" w:rsidRPr="00000000" w:rsidDel="00000000">
              <w:rPr>
                <w:sz w:val="24"/>
                <w:rtl w:val="0"/>
              </w:rPr>
              <w:t xml:space="preserve"> paredz, ka reģistrējami visi Likuma un Revīzijas regulas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b w:val="1"/>
                <w:rtl w:val="0"/>
              </w:rPr>
              <w:t xml:space="preserve">24.b. panta 7. punkts:</w:t>
            </w:r>
            <w:r w:rsidR="00000000" w:rsidRPr="00000000" w:rsidDel="00000000">
              <w:rPr>
                <w:sz w:val="24"/>
                <w:rtl w:val="0"/>
              </w:rPr>
              <w:t xml:space="preserve"> Dalībvalstis var noteikt vienkāršotas prasības attiecībā uz 3. un 6.punktu par Direktīvas 2. panta 1. punkta "b" un "c" apakšpunktā minētajām revīzijām. </w:t>
            </w:r>
            <w:r w:rsidR="00000000" w:rsidRPr="00000000" w:rsidDel="00000000">
              <w:rPr>
                <w:sz w:val="24"/>
                <w:b w:val="1"/>
                <w:rtl w:val="0"/>
              </w:rPr>
              <w:t xml:space="preserve">Latvija šo iespēju izmanto</w:t>
            </w:r>
            <w:r w:rsidR="00000000" w:rsidRPr="00000000" w:rsidDel="00000000">
              <w:rPr>
                <w:sz w:val="24"/>
                <w:rtl w:val="0"/>
              </w:rPr>
              <w:t xml:space="preserve">, un Noteikumu projekta </w:t>
            </w:r>
            <w:r w:rsidR="00000000" w:rsidRPr="00000000" w:rsidDel="00000000">
              <w:rPr>
                <w:sz w:val="24"/>
                <w:b w:val="1"/>
                <w:rtl w:val="0"/>
              </w:rPr>
              <w:t xml:space="preserve">21. punktā </w:t>
            </w:r>
            <w:r w:rsidR="00000000" w:rsidRPr="00000000" w:rsidDel="00000000">
              <w:rPr>
                <w:sz w:val="24"/>
                <w:rtl w:val="0"/>
              </w:rPr>
              <w:t xml:space="preserve">paredz vienkāršotas prasības zvērinātiem revidentiem un zvērinātu revidentu komercsabiedrībām, kuras veic tikai mazu komercsabiedrību gada pārskata revīzijas vai ierobežotās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no Direktīvas 2022/2464 prasībām tiek pārņemtas tikai tās prasības, kuras attiecas uz zvērinātu revidentu praksi un zvērinātu revidentu komercsabiedrībām saistībā ar darba organizāciju gadījumos, kad zvērināts revidents un zvērinātu revidentu komercsabiedrība sniedz ilgtspējas ziņojuma apliecinājuma pakalpojumu. Citas Direktīvas 2022/2464 prasības attiecībā uz zvērinātiem revidentiem, zvērinātu revidentu komercsabiedrībām un to darbību uzraugošajām iestādēm ir iestrādātas Revīzijas pakalpojumu likumā, bet prasības attiecībā uz sabiedriskas nozīmes struktūru revīzijas komiteju papildu pienākumiem – Finanšu instrumentu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no Direktīvas 2014/56/ES prasībām tiek pārņemtas tikai tās prasības, kuras attiecas uz zvērinātu revidentu praksi un zvērinātu revidentu komercsabiedrībām saistībā ar darba organizāciju, tajā skaitā, politiku un procedūru izstrādāšana, zvērinātu revidentu prakses un zvērinātu revidentu komercsabiedrību neatkarības un objektivitātes nodrošināšanu, resursu plānošanu, dokumentu pārvaldību, reģistru un lietu veidošanu. Citas Direktīvas 2014/56/ES prasības ir iestrādātas Revīzijas pakalpojumu likumā un Finanšu instrumentu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arī līdz šim MK noteikumos Nr. 75 jau pārņemtās/ieviestās, no Eiropas Savienības tiesību normām izrietošās prasības netiek mainītas vai ietekmētas.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nav piemērojama. Noteikumu projekts un tā anotācija pēc to ievietošanas Vienotajā tiesību aktu projektu izstrādes un saskaņošanas portālā būs pieejams tā publiskajā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saskaņots ar Latvijas Zvērinātu revidentu asociāciju.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ministrijai un Latvijas Zvērinātu revidentu asociācijai, veicot zvērinātu revidentu un zvērinātu revidentu komercsabiedrību sniegto pakalpojumu kvalitātes pārbaudes, būs jāpārliecinās, vai un kā zvērināti revidenti un zvērinātu revidentu komercsabiedrības ievēro Noteikumu projektā minētās prasības arī tajos gadījumos, kad zvērināti revidenti un zvērinātu revidentu komercsabiedrības sniedz ilgtspējas ziņojuma apliecinājuma pakalpojumus.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iesaistītās institūcijas savus pienākumus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punkts noteic, ka pašnodarbinātais zvērināts revidents un zvērinātu revidentu komercsabiedrība kārto (elektroniski vai papīra formā) vienu vai vairākus klientu uzskaites reģistrus. Savukārt, Noteikumu projekta 24.2. apakšpunkts noteic, ka uzskaites reģistrā zvērinātu revidentu komercsabiedrībai ir jānorāda atbildīgā zvērināta revidenta vārds, uzvārds un zvērināta revidenta sertifikāta numurs, arī pašnodarbinātā zvērināta revidenta un attiecīgā gadījumā - galvenā ilgtspējas revidenta vārds, uzvārds un zvērināta revidenta sertifikāta numurs. Minēto prasību noteic ar Direktīvas 2022/2464 3. panta 12. punktu grozītās Revīzijas direktīvas 24.b. panta 4. punkta "b" apakšpunkts. Minētā informācija tāpat ir nepieciešama, lai zvērinātu revidentu un zvērinātu revidentu komercsabiedrību uzraugošās institūcijas (Finanšu ministrija un Latvijas Zvērinātu revidentu asociācija), veicot zvērinātu revidentu un zvērinātu revidentu komercsabiedrību sniegto pakalpojumu kvalitātes pārbaudi, varētu pārliecināties, tieši kurš atbildīgais zvērināts revidents vai galvenais ilgtspējas revidents ir sniedzis attiecīgo pakalpojumu klientam un tādējādi pārbaudīt, kā šis revidents savā darbībā ievēro normatīvo aktu prasības, īpaši attiecībā uz neatkarības, objektivitātes un konfidencialitātes prasību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24-TA-617</w:t>
    </w:r>
    <w:r>
      <w:br/>
    </w:r>
    <w:r w:rsidR="00000000" w:rsidRPr="00000000" w:rsidDel="00000000">
      <w:rPr>
        <w:rtl w:val="0"/>
      </w:rPr>
      <w:t xml:space="preserve">Izdrukāts 29.07.2026. 23.35 - 4.0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24-TA-617</w:t>
    </w:r>
    <w:r>
      <w:br/>
    </w:r>
    <w:r w:rsidR="00000000" w:rsidRPr="00000000" w:rsidDel="00000000">
      <w:rPr>
        <w:rtl w:val="0"/>
      </w:rPr>
      <w:t xml:space="preserve">Izdrukāts 29.07.2026. 23.35 - 4.0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anotācija_(ex_ante)_24-TA-617.docx</dc:title>
</cp:coreProperties>
</file>

<file path=docProps/custom.xml><?xml version="1.0" encoding="utf-8"?>
<Properties xmlns="http://schemas.openxmlformats.org/officeDocument/2006/custom-properties" xmlns:vt="http://schemas.openxmlformats.org/officeDocument/2006/docPropsVTypes"/>
</file>