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30. novembra noteikumos Nr. 776 "Valsts un Eiropas Savienības atbalsta piešķiršanas kārtība atklātu projektu konkursa veidā pasākumā "Ieguldījumi materiālajos aktīvos" 2014.–2020. gada plānošanas perioda pārejas laikā 2021. un 2022.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atbalstu  ieguldījumiem pārstrādei saskaņā ar Ministru kabineta 2021. gada 30. novembra noteikumiem Nr. 776 "Valsts un Eiropas Savienības atbalsta piešķiršanas kārtība atklātu projektu konkursa veidā pasākumā "Ieguldījumi materiālajos aktīvos" 2014.–2020. gada plānošanas perioda pārejas laikā 2021. un 2022. gadā" piešķir atbilstoši reģionālā atbalsta nosacījumiem saskaņā ar Komisijas 2014. gada 17. jūnija Regulas (ES) Nr. 651/2014, ar ko noteiktas atbalsta kategorijas atzīst par saderīgām ar iekšējo tirgu, piemērojot Līguma 107. un 108. pantu, 14. pantu. Tāpat kopš 2022. gada 1. janvāra ir spēkā reģionālā atbalsta karte, kas noteikta Ministru kabineta 2021. gada 2. novembra noteikumi Nr. 729 “Noteikumi par reģionālās attīstības atbalstu Latvijas Republikā līdz 2027. gadam”, tāpēc noteikumos Nr. 776 nepieciešams precizēt ietvertās valsts atbalsta normas.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2021. gada 30. novembra noteikumus Nr. 776 "Valsts un Eiropas Savienības atbalsta piešķiršanas kārtība atklātu projektu konkursa veidā pasākumā "Ieguldījumi materiālajos aktīvos" 2014.–2020. gada plānošanas perioda pārejas laikā 2021. un 2022. gadā", paredzot iespēju saņemt valsts atbalstu  tādu lauksaimniecības produktu ražošanai, kas nav minēti Līguma par Eiropas Savienības darbību I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2021. gada 30. novembra noteikumi Nr. 776 "Valsts un Eiropas Savienības atbalsta piešķiršanas kārtība atklātu projektu konkursa veidā pasākumā "Ieguldījumi materiālajos aktīvos" 2014.–2020. gada plānošanas perioda pārejas laikā 2021. un 2022. gadā" (turpmāk – noteikumi Nr.776) nenosaka kārtību, kādā piešķir valsts atbalstu, ja projektā paredzamais gala produkts nav minēts Līguma par Eiropas Savienības darbību I pielikumā. Tādējādi, atbalsta pretendenti, kuru projektā paredzamais gala produkts nav minēts Līguma par Eiropas Savienības darbību I pielikumā, nevar pretendēt uz atbalsta saņemšanu "Atbalsts ieguldījumiem pārstrādē" apakšpasākuma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Nr.776 52.2. apakšpunkts nosaka, ka maksimālais attiecināmo izmaksu apmērs siltumnīcu būvniecībai un pārbūvei ir 3 000 000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Esošie Noteikumi Nr.776 neparedz iespēju "indeksēt" projekta īstenošanas laikā maksimālās attiecināmās izmaksas, lai gan būvniecības izmaksu pieaugums pēdējā gadā ir straujš.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Nr.776 66.1.5. apakšpunkts nosaka, ja tiek iegādāts jauns miglotājs, smidzinātājs vai kūtsmēslu iestrādes aprīkojums, tam ir jāatbilst Noteikumu Nr.776 2. pielikumā minētajiem klimata pārmaiņu mazināšanas un pielāgošanās ieguldījumiem un jābūt attiecīgi aprīkotam.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produktu ražotāji, kuru projektā paredzamais gala produkts nav minēts Līguma par Eiropas Savienības darbību I pielikumā, nevar pretendēt uz atbalsta saņemšanu ieguldījumiem pārstrādē, tādējādi netiek veicinātā šādu uzņēmumu attīstība un konkurētspējas augšana, kā arī pievienotās vērtības rādīšana.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Nr.776 52.2. apakšpunkts neskaidro, ka lai gan maksimālais attiecināmo izmaksu apmērs siltumnīcu būvniecībai un pārbūvei ir 3 000 000 </w:t>
      </w:r>
      <w:r w:rsidR="00000000" w:rsidRPr="00000000" w:rsidDel="00000000">
        <w:rPr>
          <w:i w:val="1"/>
          <w:rtl w:val="0"/>
        </w:rPr>
        <w:t xml:space="preserve">euro</w:t>
      </w:r>
      <w:r w:rsidR="00000000" w:rsidRPr="00000000" w:rsidDel="00000000">
        <w:rPr>
          <w:rtl w:val="0"/>
        </w:rPr>
        <w:t xml:space="preserve">, tajā iekļauj šo noteikumu 52.1. apakšpunktā minētās attiecināmās izmaksas, nepārsniedzot šo noteikumu 52.1. apakšpunktā noteikto maksimālo apjomu, ja atbalsta pretendents īsteno arī tādus šo noteikumu 1.1. apakšpunktā minētā apakšpasākuma projektus, kuru izmaksas nav saistītas siltumnīcu būvniecību vai pārbūvi.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Dēļ tā, ka Noteikumi Nr.776 neparedz iespēju "indeksēt" projekta īstenošanas laikā maksimālās attiecināmās izmaksas, veidojas risks, ka atbalsta saņēmējs nepabeigs projekta īstenošanu, dēļ tā, ka ievērojami pieauga būvniecības izmaksas, salīdzinājumā ar periodu, kurā tika iesniegts projekta iesniegums.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Mazās saimniecības, ka arī dārzkopības nozarē - vidējas saimniecības sastopas ar finansiālām grūtībām iegādāties jaunu miglotāju, minerālmēslu izkliedētāju vai kūtsmēslu iestrādes aprīkojumu, lai tas atbilstoši  Noteikumu Nr.776 66.1.5. apakšpunktā noteiktām ir attiecīgi aprīkots ar precīzām tehnoloģijām (t.sk. pilnībā automatizētām).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-15. punkti precizē noteikumu Nr. 776 ietvertās normas atbilstoši spēkā esošajai reģionālā atbalsta piešķiršanas nosacījumiem saskaņā ar Komisijas 2014. gada 17. jūnija Regulas (ES) Nr. 651/2014, ar ko noteiktas atbalsta kategorijas atzīst par saderīgām ar iekšējo tirgu, piemērojot Līguma 107. un 108. pantu, 14. pantu, t.i., maksimālo atbalsta intensitāti atbilstoši reģionālā atbalsta kartei, kas noteikta saskaņā ar Ministru kabineta 2021. gada 2. novembra noteikumiem Nr. 729 “Noteikumi par reģionālās attīstības atbalstu Latvijas Republikā līdz 2027. gadam”. nosaka kārtību, kādā var pretendēt uz valsts atbalstu atbalsta pretendenti, kuru projektā paredzamais gala produkts nav minēts Līguma par Eiropas Savienības darbību 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16.punkts nosaka, ka 52.2.apakšpunkts ir jāpapildina ar skaidrojumu, ka īstenojot šo noteikumu 1.1. apakšpunktā minētā apakšpasākuma projektu, kas paredz siltumnīcu būvniecību vai pārbūvi, maksimālā attiecināmo izmaksu apmērā (3 000 000 euro) iekļauj šo noteikumu 52.1. apakšpunktā minētās attiecināmās izmaksas, nepārsniedzot šo noteikumu 52.1. apakšpunktā noteikto maksimālo apjomu, ja atbalsta pretendents īsteno arī tādus šo noteikumu 1.1. apakšpunktā minētā apakšpasākuma projektus, kuru izmaksas nav saistītas siltumnīcu būvniecību vai pārbūvi.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17.punkts nosaka, ka Noteikumi Nr.776 ir jāpapildina ar nosacījumu, kas projekta īstenošanas laikā ļaus palielināt šo noteikumu 5. pielikumā noteiktās maksimālās attiecināmās izmaksas, bet nepārsniedzot projektam apstiprināto kopējo attiecināmo izmaksu summu un nemainot projekta mērķi, ja projekta īstenošanas laikā saskaņā ar Centrālās statistikas pārvaldes datiem būvniecības izmaksu pieaugums pārsniedz piecus procentus, salīdzinot ar ceturksni, kurā iesniegts projekta iesniegums, par attiecīgi pārsniegto procentu punktu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776 12. pielikumā precizētas maksimālās attiecināmās izmaksas atbalsta aprēķināšanā galvenajiem būvju tipiem, izvērtējot aktuālās būvniecības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18.punkts nosaka, ka mazās saimniecības, ka arī dārzkopības nozarē - vidējas saimniecības, var iegādāties jaunu miglotāju, minerālmēslu izkliedētāju vai kūtsmēslu iestrādes aprīkojumu, kas ir manuāli regulējams.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noteiktais nepalielina atbalsta saņēmēju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precizējumiem ir atbalsta saņēmējiem "pozitīvs" raksturs (tie palielina atbalsta saņēmēju iespējas saņemt atbalstu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precizējumiem ir redakcionāls raksturs, precizējumi izskaidro esošos nosacījumus, nevis ievieš jaunus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noteiktais nodrošinās, ka projektā īstenošanas laikā var tikt palielinātās attiecināmās izmaksas, mazās saimniecības varēs iegādāties ierīces, kas ir manuāli regulējamas.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 lauksaimniecības produkcijas pārstrādātāji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noteiktais nodrošinās, ka projektā īstenošanas laikā var tikt palielinātās attiecināmās izmaksas, mazās saimniecības un dārzkopības vidējās saimniecības varēs iegādāties ierīces, kas ir manuāli regulējamas. Pārstrādātāji, kuru gala produkts nav minēts ES Līguma 1.pielikumā, varēs pretendēts uz atbalsta saņemšanu ieguldījumiem pārstrādē.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saimniecību un saimniecisko darbību veicēju izaugsmi un palielinās konkurētspēju, tā palielinot arī nozares konkurētspēju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Saimniecisko darbību veicēji, kas veic lauksaimniecības tādu produktu pārstrādi, kas nav minēti ES Līguma 1.pielikumā, iegūs iespēju iegūt atbalsta ieguldījumiem pārstrādē.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Mazās saimniecības, ka arī dārzkopības vidējās saimniecības varēs iegādāties un izmantot saimniecībā ierīces, kas ir daļēji precīzas (manuāli regulējamās), tādējādi varēs efektīvāk apsaimniekot, kā arī efektīvāk izmantot finanšu līdzekļus, novirzot tos citām investīcijām un jaunu darbavietu radīšanai.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uzņēmumu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Netieši var ietekmēt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17. jūnija Regula (ES) Nr. 651/2014, ar ko noteiktas atbalsta kategorijas atzīst par saderīgām ar iekšējo tirgu, piemērojot Līguma par Eiropas Savienības darbību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grupu atbrīvojuma regula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17. jūnija Regula (ES) Nr. 651/2014, ar ko noteiktas atbalsta kategorijas atzīst par saderīgām ar iekšējo tirgu, piemērojot Līguma par Eiropas Savienības darbību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r w:rsidR="00000000" w:rsidRPr="00000000" w:rsidDel="00000000">
              <w:rPr>
                <w:sz w:val="24"/>
                <w:vertAlign w:val="superscript"/>
                <w:rtl w:val="0"/>
              </w:rPr>
              <w:t xml:space="preserve">2</w:t>
            </w:r>
            <w:r w:rsidR="00000000" w:rsidRPr="00000000" w:rsidDel="00000000">
              <w:rPr>
                <w:sz w:val="24"/>
                <w:rtl w:val="0"/>
              </w:rPr>
              <w:t xml:space="preserve">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r w:rsidR="00000000" w:rsidRPr="00000000" w:rsidDel="00000000">
              <w:rPr>
                <w:sz w:val="24"/>
                <w:vertAlign w:val="superscript"/>
                <w:rtl w:val="0"/>
              </w:rPr>
              <w:t xml:space="preserve">2</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2.punkta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r w:rsidR="00000000" w:rsidRPr="00000000" w:rsidDel="00000000">
              <w:rPr>
                <w:sz w:val="24"/>
                <w:vertAlign w:val="superscript"/>
                <w:rtl w:val="0"/>
              </w:rPr>
              <w:t xml:space="preserve">2</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r w:rsidR="00000000" w:rsidRPr="00000000" w:rsidDel="00000000">
              <w:rPr>
                <w:sz w:val="24"/>
                <w:vertAlign w:val="superscript"/>
                <w:rtl w:val="0"/>
              </w:rPr>
              <w:t xml:space="preserve">2</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r w:rsidR="00000000" w:rsidRPr="00000000" w:rsidDel="00000000">
              <w:rPr>
                <w:sz w:val="24"/>
                <w:vertAlign w:val="superscript"/>
                <w:rtl w:val="0"/>
              </w:rPr>
              <w:t xml:space="preserve">2</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49. punkts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r w:rsidR="00000000" w:rsidRPr="00000000" w:rsidDel="00000000">
              <w:rPr>
                <w:sz w:val="24"/>
                <w:vertAlign w:val="superscript"/>
                <w:rtl w:val="0"/>
              </w:rPr>
              <w:t xml:space="preserve">2</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61.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r w:rsidR="00000000" w:rsidRPr="00000000" w:rsidDel="00000000">
              <w:rPr>
                <w:sz w:val="24"/>
                <w:vertAlign w:val="superscript"/>
                <w:rtl w:val="0"/>
              </w:rPr>
              <w:t xml:space="preserve">2</w:t>
            </w:r>
            <w:r w:rsidR="00000000" w:rsidRPr="00000000" w:rsidDel="00000000">
              <w:rPr>
                <w:sz w:val="24"/>
                <w:rtl w:val="0"/>
              </w:rPr>
              <w:t xml:space="preserve">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r w:rsidR="00000000" w:rsidRPr="00000000" w:rsidDel="00000000">
              <w:rPr>
                <w:sz w:val="24"/>
                <w:vertAlign w:val="superscript"/>
                <w:rtl w:val="0"/>
              </w:rPr>
              <w:t xml:space="preserve">2</w:t>
            </w:r>
            <w:r w:rsidR="00000000" w:rsidRPr="00000000" w:rsidDel="00000000">
              <w:rPr>
                <w:sz w:val="24"/>
                <w:rtl w:val="0"/>
              </w:rPr>
              <w:t xml:space="preserve">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r w:rsidR="00000000" w:rsidRPr="00000000" w:rsidDel="00000000">
              <w:rPr>
                <w:sz w:val="24"/>
                <w:vertAlign w:val="superscript"/>
                <w:rtl w:val="0"/>
              </w:rPr>
              <w:t xml:space="preserve">2</w:t>
            </w:r>
            <w:r w:rsidR="00000000" w:rsidRPr="00000000" w:rsidDel="00000000">
              <w:rPr>
                <w:sz w:val="24"/>
                <w:rtl w:val="0"/>
              </w:rPr>
              <w:t xml:space="preserve">5., 39.</w:t>
            </w:r>
            <w:r w:rsidR="00000000" w:rsidRPr="00000000" w:rsidDel="00000000">
              <w:rPr>
                <w:sz w:val="24"/>
                <w:vertAlign w:val="superscript"/>
                <w:rtl w:val="0"/>
              </w:rPr>
              <w:t xml:space="preserve">2</w:t>
            </w:r>
            <w:r w:rsidR="00000000" w:rsidRPr="00000000" w:rsidDel="00000000">
              <w:rPr>
                <w:sz w:val="24"/>
                <w:rtl w:val="0"/>
              </w:rPr>
              <w:t xml:space="preserve">7.apakšpunkti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r w:rsidR="00000000" w:rsidRPr="00000000" w:rsidDel="00000000">
              <w:rPr>
                <w:sz w:val="24"/>
                <w:vertAlign w:val="superscript"/>
                <w:rtl w:val="0"/>
              </w:rPr>
              <w:t xml:space="preserve">2</w:t>
            </w:r>
            <w:r w:rsidR="00000000" w:rsidRPr="00000000" w:rsidDel="00000000">
              <w:rPr>
                <w:sz w:val="24"/>
                <w:rtl w:val="0"/>
              </w:rPr>
              <w:t xml:space="preserve">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r w:rsidR="00000000" w:rsidRPr="00000000" w:rsidDel="00000000">
              <w:rPr>
                <w:sz w:val="24"/>
                <w:vertAlign w:val="superscript"/>
                <w:rtl w:val="0"/>
              </w:rPr>
              <w:t xml:space="preserve">2</w:t>
            </w:r>
            <w:r w:rsidR="00000000" w:rsidRPr="00000000" w:rsidDel="00000000">
              <w:rPr>
                <w:sz w:val="24"/>
                <w:rtl w:val="0"/>
              </w:rPr>
              <w:t xml:space="preserve">12.apakšpunkts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r w:rsidR="00000000" w:rsidRPr="00000000" w:rsidDel="00000000">
              <w:rPr>
                <w:sz w:val="24"/>
                <w:vertAlign w:val="superscript"/>
                <w:rtl w:val="0"/>
              </w:rPr>
              <w:t xml:space="preserve">2</w:t>
            </w:r>
            <w:r w:rsidR="00000000" w:rsidRPr="00000000" w:rsidDel="00000000">
              <w:rPr>
                <w:sz w:val="24"/>
                <w:rtl w:val="0"/>
              </w:rPr>
              <w:t xml:space="preserve">12.apakšpunkts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r w:rsidR="00000000" w:rsidRPr="00000000" w:rsidDel="00000000">
              <w:rPr>
                <w:sz w:val="24"/>
                <w:vertAlign w:val="superscript"/>
                <w:rtl w:val="0"/>
              </w:rPr>
              <w:t xml:space="preserve">2</w:t>
            </w:r>
            <w:r w:rsidR="00000000" w:rsidRPr="00000000" w:rsidDel="00000000">
              <w:rPr>
                <w:sz w:val="24"/>
                <w:rtl w:val="0"/>
              </w:rPr>
              <w:t xml:space="preserve">13.apakšpunkts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r w:rsidR="00000000" w:rsidRPr="00000000" w:rsidDel="00000000">
              <w:rPr>
                <w:sz w:val="24"/>
                <w:vertAlign w:val="superscript"/>
                <w:rtl w:val="0"/>
              </w:rPr>
              <w:t xml:space="preserve">2</w:t>
            </w:r>
            <w:r w:rsidR="00000000" w:rsidRPr="00000000" w:rsidDel="00000000">
              <w:rPr>
                <w:sz w:val="24"/>
                <w:rtl w:val="0"/>
              </w:rPr>
              <w:t xml:space="preserve">14.apakšpunkts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r w:rsidR="00000000" w:rsidRPr="00000000" w:rsidDel="00000000">
              <w:rPr>
                <w:sz w:val="24"/>
                <w:vertAlign w:val="superscript"/>
                <w:rtl w:val="0"/>
              </w:rPr>
              <w:t xml:space="preserve">2</w:t>
            </w:r>
            <w:r w:rsidR="00000000" w:rsidRPr="00000000" w:rsidDel="00000000">
              <w:rPr>
                <w:sz w:val="24"/>
                <w:rtl w:val="0"/>
              </w:rPr>
              <w:t xml:space="preserve">15.apakšpunkts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r w:rsidR="00000000" w:rsidRPr="00000000" w:rsidDel="00000000">
              <w:rPr>
                <w:sz w:val="24"/>
                <w:vertAlign w:val="superscript"/>
                <w:rtl w:val="0"/>
              </w:rPr>
              <w:t xml:space="preserve">2</w:t>
            </w:r>
            <w:r w:rsidR="00000000" w:rsidRPr="00000000" w:rsidDel="00000000">
              <w:rPr>
                <w:sz w:val="24"/>
                <w:rtl w:val="0"/>
              </w:rPr>
              <w:t xml:space="preserve">16.apakšpunkts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panta 1. un 4. punks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r w:rsidR="00000000" w:rsidRPr="00000000" w:rsidDel="00000000">
              <w:rPr>
                <w:sz w:val="24"/>
                <w:vertAlign w:val="superscript"/>
                <w:rtl w:val="0"/>
              </w:rPr>
              <w:t xml:space="preserve">2</w:t>
            </w:r>
            <w:r w:rsidR="00000000" w:rsidRPr="00000000" w:rsidDel="00000000">
              <w:rPr>
                <w:sz w:val="24"/>
                <w:rtl w:val="0"/>
              </w:rPr>
              <w:t xml:space="preserve">17.apakšpunkts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r w:rsidR="00000000" w:rsidRPr="00000000" w:rsidDel="00000000">
              <w:rPr>
                <w:sz w:val="24"/>
                <w:vertAlign w:val="superscript"/>
                <w:rtl w:val="0"/>
              </w:rPr>
              <w:t xml:space="preserve">2</w:t>
            </w:r>
            <w:r w:rsidR="00000000" w:rsidRPr="00000000" w:rsidDel="00000000">
              <w:rPr>
                <w:sz w:val="24"/>
                <w:rtl w:val="0"/>
              </w:rPr>
              <w:t xml:space="preserve">17.apakšpunkts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r w:rsidR="00000000" w:rsidRPr="00000000" w:rsidDel="00000000">
              <w:rPr>
                <w:sz w:val="24"/>
                <w:vertAlign w:val="superscript"/>
                <w:rtl w:val="0"/>
              </w:rPr>
              <w:t xml:space="preserve">2</w:t>
            </w:r>
            <w:r w:rsidR="00000000" w:rsidRPr="00000000" w:rsidDel="00000000">
              <w:rPr>
                <w:sz w:val="24"/>
                <w:rtl w:val="0"/>
              </w:rPr>
              <w:t xml:space="preserve">18.apakšpunkts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paredz zemāku atbalsta intensitāti pasākumā, kas noteikta atbilstoši ar Eiropas Komisiju saskaņotajai Latvijas Lauku attīstības programmai 2014.-2020.gadam (LAP), tajā noteiktām prioritātēm un intervences loģiku un ņemot vērā mērķu sasniegšanas progresu pasākumā. Atbilstoši LAP maksimālā atbalsta intensitāte nepārsniedz 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6.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r w:rsidR="00000000" w:rsidRPr="00000000" w:rsidDel="00000000">
              <w:rPr>
                <w:sz w:val="24"/>
                <w:vertAlign w:val="superscript"/>
                <w:rtl w:val="0"/>
              </w:rPr>
              <w:t xml:space="preserve">2</w:t>
            </w:r>
            <w:r w:rsidR="00000000" w:rsidRPr="00000000" w:rsidDel="00000000">
              <w:rPr>
                <w:sz w:val="24"/>
                <w:rtl w:val="0"/>
              </w:rPr>
              <w:t xml:space="preserve">19.apakšpunkts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14.punkts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r w:rsidR="00000000" w:rsidRPr="00000000" w:rsidDel="00000000">
              <w:rPr>
                <w:sz w:val="24"/>
                <w:vertAlign w:val="superscript"/>
                <w:rtl w:val="0"/>
              </w:rPr>
              <w:t xml:space="preserve">3</w:t>
            </w:r>
            <w:r w:rsidR="00000000" w:rsidRPr="00000000" w:rsidDel="00000000">
              <w:rPr>
                <w:sz w:val="24"/>
                <w:rtl w:val="0"/>
              </w:rPr>
              <w:t xml:space="preserve">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Komisijas Regulas Nr.651/2014 11.panta a) apakšpunktu 20 darbadienu laikā pēc noteikumu projekta stāšanās spēkā Eiropas Komisijai tiks nosūtīta kopsavilkuma veidlapa.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22-TA-1709</w:t>
    </w:r>
    <w:r>
      <w:br/>
    </w:r>
    <w:r w:rsidR="00000000" w:rsidRPr="00000000" w:rsidDel="00000000">
      <w:rPr>
        <w:rtl w:val="0"/>
      </w:rPr>
      <w:t xml:space="preserve">Izdrukāts 29.07.2026. 23.20 - 1.0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22-TA-1709</w:t>
    </w:r>
    <w:r>
      <w:br/>
    </w:r>
    <w:r w:rsidR="00000000" w:rsidRPr="00000000" w:rsidDel="00000000">
      <w:rPr>
        <w:rtl w:val="0"/>
      </w:rPr>
      <w:t xml:space="preserve">Izdrukāts 29.07.2026. 23.20 - 1.0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anotācija_(ex_ante)_22-TA-1709.docx</dc:title>
</cp:coreProperties>
</file>

<file path=docProps/custom.xml><?xml version="1.0" encoding="utf-8"?>
<Properties xmlns="http://schemas.openxmlformats.org/officeDocument/2006/custom-properties" xmlns:vt="http://schemas.openxmlformats.org/officeDocument/2006/docPropsVTypes"/>
</file>