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Elektroenerģijas tirgus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Elektroenerģijas tirgus likumā" (turpmāk – likumprojekts) ir sagatavots pēc Klimata un enerģētikas ministrijas iniciatīvas, lai pārņemtu Eiropas Savienības (turpmāk - ES) direktīvu nosacījumus, ka arī risinātu konstatētās spēkā esošā regulējuma nepilnības, tādējādi uzlabojot elektroenerģijas tirgus turpmāko darbību ar likumprojektu aptvertajās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daļēji izpildīts Ministru kabineta 2025. gada 20. maija sēdes protokola Nr.20 39.§ 3.punktā dotais uzdevums izstrādāt nepieciešamos tiesību aktus </w:t>
      </w:r>
      <w:r w:rsidR="00000000" w:rsidRPr="00000000" w:rsidDel="00000000">
        <w:rPr>
          <w:i w:val="1"/>
          <w:rtl w:val="0"/>
        </w:rPr>
        <w:t xml:space="preserve">Eiropas Parlamenta un Padomes 2024. gada 13. jūnija direktīvas (ES) 2024/1711, ar ko groza Direktīvas (ES) 2018/2001 un (ES) 2019/944 attiecībā uz Savienības elektroenerģijas tirgus modeļa uzlabošanu </w:t>
      </w:r>
      <w:r w:rsidR="00000000" w:rsidRPr="00000000" w:rsidDel="00000000">
        <w:rPr>
          <w:rtl w:val="0"/>
        </w:rPr>
        <w:t xml:space="preserve">(turpmāk – direktīva Nr. 2024/1711) transponēšanai (pilnībā šis uzdevums tiks izpildīts līdz ar saistītā Ministru kabineta noteikumu projekta "Grozījumi Ministru kabineta 2023. gada 7. novembra noteikumos Nr. 635 "Elektroenerģijas tirdzniecības un lietošanas noteikumi"" (25-TA-649) pieņemšanu), kā arī tiek transponētas Eiropas Parlamenta un Padomes 2018. gada 11. decembra direktīvas (ES) 2018/2001 par no atjaunojamajiem energoresursiem iegūtas enerģijas izmantošanas veicināšanu un Eiropas Parlamenta un Padomes 2023. gada 18. oktobra direktīvas (ES) 2023/2413, ar ko attiecībā uz atjaunīgo energoresursu enerģijas izmantošanas veicināšanu groza Direktīvu (ES) 2018/2001, Regulu (ES) 2018/1999 un Direktīvu 98/70/EK un atceļ Padomes direktīvu (ES) 2015/652,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pārņemt direktīvas Nr. 2024/1711 un </w:t>
      </w:r>
      <w:r w:rsidR="00000000" w:rsidRPr="00000000" w:rsidDel="00000000">
        <w:rPr>
          <w:i w:val="1"/>
          <w:rtl w:val="0"/>
        </w:rPr>
        <w:t xml:space="preserve">Eiropas Parlamenta un Padomes 2019. gada 5. jūnija direktīvas (ES) 2019/944 par kopīgiem noteikumiem attiecībā uz elektroenerģijas iekšējo tirgu un ar ko groza Direktīvu 2012/27/ES</w:t>
      </w:r>
      <w:r w:rsidR="00000000" w:rsidRPr="00000000" w:rsidDel="00000000">
        <w:rPr>
          <w:rtl w:val="0"/>
        </w:rPr>
        <w:t xml:space="preserve"> (turpmāk – direktīva Nr. 2019/944)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tiesību normas, kas saistītas ar enerģijas kopīgošanu, pārvades sistēmas operatora elektroenerģijas uzkrātuvju izmantošanu, fiksētas cenas elektroenerģijas līgumiem, elektroenerģijas ražošanas un uzkrāšanas iekārtu ekspluatāciju un nojaukšanu.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2024/1711 mērķis ir uzlabot ES elektroenerģijas tirgus modeli, lai tādējādi novērstu pārmērīgi augstu elektroenerģijas cenu risku patērētājiem. Ar šo tiesību aktu tiek galvenokārt veikti grozījumi direktīvā Nr. 2019/944, ar kuru tika atjaunots elektroenerģijas iekšējā tirgus ietvars. Atsevišķas tiesību normas attiecas arī uz </w:t>
      </w:r>
      <w:r w:rsidR="00000000" w:rsidRPr="00000000" w:rsidDel="00000000">
        <w:rPr>
          <w:i w:val="1"/>
          <w:rtl w:val="0"/>
        </w:rPr>
        <w:t xml:space="preserve">Eiropas Parlamenta un Padomes 2018. gada 11. decembra direktīvu (ES) 2018/2001 par no atjaunojamajiem energoresursiem iegūtas enerģijas izmantošanas veicināšanu</w:t>
      </w:r>
      <w:r w:rsidR="00000000" w:rsidRPr="00000000" w:rsidDel="00000000">
        <w:rPr>
          <w:rtl w:val="0"/>
        </w:rPr>
        <w:t xml:space="preserve">, kuras mērķis ir veicināt atjaunīgās enerģijas īpatsvara pieaugumu gala 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tika pieņemta, reaģējot uz enerģijas cenu straujo kāpumu 2021. un 2022. gadā, ko krasi izjuta gan mājsaimniecības, gan rūpniecība un uzņēmumi visā ES. Reaģējot uz šiem izaicinājumiem, ES dalībvalstis veica nekavējošus pasākumus to mazināšanai, savukārt ES līmenī tika izstrādāts instrumentu kopums augstu enerģijas cenu problemātikas risināšanai, jo īpaši domājot par neaizsargātākajiem patērētājiem, kā arī Eiropas Komisijas plāns </w:t>
      </w:r>
      <w:r w:rsidR="00000000" w:rsidRPr="00000000" w:rsidDel="00000000">
        <w:rPr>
          <w:i w:val="1"/>
          <w:rtl w:val="0"/>
        </w:rPr>
        <w:t xml:space="preserve">"REPowerEU" </w:t>
      </w:r>
      <w:r w:rsidR="00000000" w:rsidRPr="00000000" w:rsidDel="00000000">
        <w:rPr>
          <w:rtl w:val="0"/>
        </w:rPr>
        <w:t xml:space="preserve">ar turpmākiem pasākumiem un finansējumu energoefektivitātes un atjaunīgās enerģijas veicināšanai, lai samazinātu atkarību no fosilā kurināmā. Minētajām iniciatīvām sekoja pagaidu valsts atbalsta režīma izveide, lai cita starpā atļautu noteiktus pasākumus augstu cenu ietekmes mazināšanai. Šie pasākumi palīdzēja dalībvalstīm risināt enerģētiskās krīzes tūlītējās sekas. Tomēr enerģijas cenu krīze arī parādīja, cik lielā mērā patērētāji un rūpniecības nozares ir pakļautas riskam, kā arī norādīja uz trūkumiem ES noturībā pret enerģijas cenu svārstībām. Reaģējot uz to, Eiropas Komisija nāca klajā ar iniciatīvu elektroenerģijas tirgus uzbūves jeb modeļa fundamentālai pārskatīšanai, un direktīva Nr. 2024/1711 ir daļa no likumdošanas pakotnes šī mērķa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paredz vairākas tiesību normas, kas Latvijas tiesību aktos jau ir pārņemtas vai faktiski tiek piemērotas, kā arī virkni tiesību normu, kas būtu ietveramas Elektroenerģijas tirgus likuma (turpmāk - ETL) pakārtotajos Ministru kabineta noteikumos vai citos tiesību aktos. Līdz ar to likumprojektā ir ietverti grozījumi, kas attiecas uz vispārējo elektroenerģijas tirgus regulējumu, kā arī tiek paredzēts nepieciešamais pilnvarojums Ministru kabinetam detalizētu regulējumu noteikt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arī iztrūkst tiesību normas, kas izriet no direktīvā Nr. 2019/944 paredzētā regulējuma, kas uzliek dalībvalstīm pienākumu nodrošināt, ka vismaz no mājsaimniecības lietotājiem un mazajiem uzņēmumiem neiekasē nekādu maksu saistībā ar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ir konstatētas atsevišķas nepilnības esošajā regulējumā, kuras nepieciešams novērst ar attiecīgiem tiesību normu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Enerģijas kopīgošanas organizators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ETL 37.</w:t>
      </w:r>
      <w:r w:rsidR="00000000" w:rsidRPr="00000000" w:rsidDel="00000000">
        <w:rPr>
          <w:vertAlign w:val="superscript"/>
          <w:rtl w:val="0"/>
        </w:rPr>
        <w:t xml:space="preserve">6</w:t>
      </w:r>
      <w:r w:rsidR="00000000" w:rsidRPr="00000000" w:rsidDel="00000000">
        <w:rPr>
          <w:rtl w:val="0"/>
        </w:rPr>
        <w:t xml:space="preserve"> panta septītā daļa jau paredz tiesības aktīvajam lietotājam slēgt līgumu ar trešo personu par elektroenerģijas ražošanas iekārtu pārvaldīšanu, tostarp uzstādīšanu, ekspluatāciju un uzturēšanu, kā arī datu apstrādi. Tā kā direktīva Nr. 2024/1711 paredz plašāku pienākumu klāstu, kuru veikšanu aktīvais lietotājs var deleģēt minētai trešajai personai, nepieciešams atbilstoši papildināt Latvijas tiesību aktus. Papildus tam direktīvā Nr. 2024/1711 ir noteikts, ka šos pienākumus var veikt enerģijas kopīgošanas organizators. Latvijas tiesību aktos līdz šim nav bijis ietverts jēdziens "enerģijas kopīgošanas organizators".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ETL tiek papildināts ar jēdzienu "enerģijas kopīgošanas organizators". Ar enerģijas kopīgošanas organizatoru, ar kuru aktīvais lietotājs var slēgt līgumu par enerģijas kopīgošanas organizēšanu, ETL izpratnē tiek saprasta energokopiena vai aktīvo lietotāju, kas darbojas kopīgi, pārstāvis, piemēram, daudzdzīvokļu nama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konsekvenci un veicinātu to uztveramību, no spēkā esošā 37.</w:t>
      </w:r>
      <w:r w:rsidR="00000000" w:rsidRPr="00000000" w:rsidDel="00000000">
        <w:rPr>
          <w:vertAlign w:val="superscript"/>
          <w:rtl w:val="0"/>
        </w:rPr>
        <w:t xml:space="preserve">6</w:t>
      </w:r>
      <w:r w:rsidR="00000000" w:rsidRPr="00000000" w:rsidDel="00000000">
        <w:rPr>
          <w:rtl w:val="0"/>
        </w:rPr>
        <w:t xml:space="preserve"> panta septītās daļas tiek svītroti tajā paredzētie pienākumi, kurus aktīvais lietotājs var uzdot enerģijas kopīgošanas organizatoram. Minētie pienākumi līdztekus direktīvā Nr. 2024/1711 paredzētajiem pienākumiem, pamatojoties uz Ministru kabinetam noteikto pilnvarojumu, tiks ietverti ETL pakārtotajos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noteikts, ka aktīvais lietotājs, tajā skaitā no atjaunīgajiem energoresursiem iegūtas elektroenerģijas aktīvais lietotājs, var slēgt līgumu ar enerģijas kopīgošanas organizatoru par enerģijas kopīgošanas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Nr. 2024/1711 paredzētajam tiek noteikts, ka enerģijas kopīgošanas organizators nav uzskatāms par elektroenerģijas energokopienu vai no atjaunīgajiem energoresursiem iegūtas elektroenerģijas aktīvo lietotāju, kas rīkojas kopīgi ar citiem, ja tā īpašumā vai pārvaldībā esošo elektroenerģijas ražošanas un uzkrāšanas iekārtu kopējā uzstādītā elektriskā jauda nepārsniedz sešus megavatus, izņemot gadījumus, kad tas ir viens no aktīvajiem lietotājiem, kas piedalās enerģijas kopīgošanas projektā. No tā izriet, ka enerģijas kopīgošanas organizators nav aktīvais lietotājs attiecībā uz tiem objektiem, kuros tas sniedz organizatora pakalpojumu, bet tas var būt aktīvais lietotājs citos objektos. Minēto normu uztveramības veicināšanai līdzšinējā ETL 37.</w:t>
      </w:r>
      <w:r w:rsidR="00000000" w:rsidRPr="00000000" w:rsidDel="00000000">
        <w:rPr>
          <w:vertAlign w:val="superscript"/>
          <w:rtl w:val="0"/>
        </w:rPr>
        <w:t xml:space="preserve">6</w:t>
      </w:r>
      <w:r w:rsidR="00000000" w:rsidRPr="00000000" w:rsidDel="00000000">
        <w:rPr>
          <w:rtl w:val="0"/>
        </w:rPr>
        <w:t xml:space="preserve"> panta septītā daļa tiek sadalīta divās panta 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regulējumu, ar likumprojektā ietverto 37.</w:t>
      </w:r>
      <w:r w:rsidR="00000000" w:rsidRPr="00000000" w:rsidDel="00000000">
        <w:rPr>
          <w:vertAlign w:val="superscript"/>
          <w:rtl w:val="0"/>
        </w:rPr>
        <w:t xml:space="preserve">7</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daļu arī tiek noteikts, ka energokopiena var būt enerģijas kopīgošanas organizators. Minētais precizējums ir nepieciešams, ņemot vērā direktīvas Nr. 2019/944 3. panta prasības, kuras jau šobrīd dalībvalstīm nosaka pienākumu nodrošināt, ka energokopienas ir "tiesīgas iedzīvotāju kopienā organizēt tādas elektroenerģijas koplietošanu, ko ir ražojušas kopienai piederošas ražošanas vienības, ievērojot šajā pantā noteiktās prasības un ar noteikumu, ka kopienas locekļi saglabā savas tiesības un pienākumus, kas tiem ir kā lietotājiem" un norāda uz energokopienu tiesībām nodrošināt elektroenerģijas kopīgošanas organizēšanas pakalpojumu sniegšanu, uzsverot, ka energokopienas "var nediskriminējoši piekļūt visiem elektroenerģijas tirgiem vai nu tieši, vai ar agregēšanas starpniecību" un "kā galalietotāji, ražotāji, piegādātāji, sadales sistēmu operatori vai agregēšanā iesaistītie tirgus dalībnieki saņem nediskriminējošu un samērīgu attieksmi attiecībā uz to darbībām, tiesībām un pienākumiem". No minētajām direktīvas normām ir secināms, ka tā neierobežo energokopienu tiesības nodrošināt elektroenerģijas kopīgošanas organizatora pakalpojumus tikai kopienas biedriem, bet paredz iespēju, ka energokopiena kopīgošanas organizatora pakalpojumus ir tiesīga sniegt arī trešajām personām, tai skaitā citām iedzīvotāju izveidotām energokopienām. Minētais regulējums ir būtisks, lai energokopienām, kuras ir ieinteresētas sniegt atbalstu citu energokopienu izveidei un sekmēt iedzīvotāju zinātību, nodrošinātu tiesiski nepārprotamu iespēju sniegt šādus organizatoriskos pakalpojumus un veicināt zināšanu pārnesi potenciāli ieinteresētajām pusēm.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Iestāžu kompetenču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ETL tekstā ir noteikta Enerģētikas un vides aģentūras kompetence elektroenerģijas tirgus uzraudzībā un regulēšanā. Ar Ministru kabineta 2025. gada 26. augusta rīkojumu Nr. 533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 tiek likvidēta ar 2025. gada 1. oktobri un tās kompetences ir nodotas Valsts vides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ETL tekstā vārdi "Enerģētikas un vides aģentūra" un tās saīsinājums "aģentūra" attiecīgajā locījumā aizstāti ar vārdiem "Valsts vides dienests" un "dienests"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Viedo elektroenerģijas sistēmu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59. panta 1. punkta l) apakšpunkts noteic regulatīvās iestādes pienākumu pārraudzīt un izvērtēt pārvades sistēmu operatoru un sadales sistēmu operatoru darbības rādītājus saistībā ar tāda viedtīkla attīstību, kas veicina energoefektivitāti un atjaunojamo energoresursu enerģijas integrēšanu, pamatojoties uz ierobežotu indikatoru kopumu, un reizi divos gados publicēt valsts ziņojumu, tostarp ieteikumus.  Esošajā ETL regulējumā iztrūkst tiesību normas, kas noteic pienākumu sistēmas operatoriem attīstīt viedo elektroenerģijas sistēmu, lai veicinātu energoefektivitāti un no atjaunīgiem energoresursiem iegūtas elektroenerģijas integrēšanu, un  Regulatoram noteikt viedās elektroenerģijas sistēmas attīstības vērtējuma rādītājus un publicēt sistēmas operatoru īstenotās viedās elektroenerģijas sistēmas atbilstības izvērējumu.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nosakot prasību sistēmas operatoriem attīstīt viedo elektroenerģijas sistēmu, lai veicinātu energoefektivitāti un no atjaunīgiem energoresursiem iegūtas elektroenerģijas integrēšanu, kā arī prasības Regulatoram  uzraudzīt un izvērtē sistēmas operatoru īstenoto attīstību, tajā skaitā reizi divos gados publicējot ziņojumu, kas atspoguļo rādītājus, atbilstoši kuriem šī attīstība ir novērtēta, tiek radīts tiesiskais pamats viedo elektroenerģijas sistēmu attīstībai un tās uzraudzībai. Atbilstoši Direktīva 2019/944 noteiktajam ar energoefektivitāti saprot snieguma, pakalpojuma, preču vai enerģijas izlaides attiecība pret pievadīto enerģiju. Tas nozīmē, ka augstāka energoefektivitāte tiek sasniegta, ja ar mazāku enerģijas apjomu tiek nodrošināts tas pats rezultāts vai ar tādu pašu enerģijas apjomu tiek sasniegts lielāks rezultāts.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Pārrobežu iekārtu ieviešana un atļauju izsniegšana šādu iekārtu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ETL 4. panta pirmo daļu elektroenerģijas sistēmu veido elektroenerģijas ražošanas iekārtas, pārvades un sadales sistēmas un elektroenerģijas patēriņa iekārtas, kas ir savstarpēji savienotas un nepieciešamas elektroenerģijas transportēšanai no ražotāja līdz lietotājam. Praksē ir sastopamas situācijas, kad elektroenerģijas ražošanas iekārtas (vēja vai saules) ar lielu jaudu var aizņemt lielu platību, kas dažādu iemeslu dēļ izvēršas ārpus Latvijas valsts teritorijas. Šādu projektu ieviešanu aktīvi atbalsta arī Eiropas Savienības tiesiskais regulējums, ar kuru, 2021.–2027. gada finansēšanas periodam, pārskatot Eiropas infrastruktūras savienošanas instrumenta (Connecting Europe Facility, turpmāk – CEF)  programmas enerģētikas daļu, ieviesa  jaunu atbalsttiesīgo projektu kategoriju: pārrobežu projekti atjaunojamo energoresursu enerģijas jomā (CB RES).  Minētais regulējums paredz pārrobežu projektu atjaunojamo energoresursu enerģijas jomā nepieciešamību un to saraksta izveidi, jo pārrobežu infrastruktūras projekti veicina dekarbonizāciju, iekšējā enerģijas tirgus izveides pabeigšanu un enerģijas piegādes drošības palielināšanu un palīdzēs Eiropas Savienībai sasniegt tās vērienīgos mērķus enerģētikas un klimata jomā. Šo projektu priekšrocība ir racionalizēta atļauju izdošana un regulatīvā procedūra, un tie ir tiesīgi saņemt Eiropas Savienības finansiālo atbalstu no CEF saskaņā ar Eiropas Parlamenta un Padomes 2021. gada 7. jūlija regulu (ES) 2021/1153, ar ko izveido Eiropas infrastruktūras savienošanas instrumentu un atceļ Regulas (ES) Nr. 1316/2013 un (ES) Nr. 283/2014 (turpmāk – CEF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projektu atjaunojamo energoresursu enerģijas jomā regulējums ir noteikts  CEF regulas 7. pantā un pielikuma IV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piemērs minams Vēja parka Lode-Penuja projekts 2023. gadā iekļauts atjaunojamās enerģijas pārrobežu projektu sarakstā saskaņā ar CEF enerģētikai, kā arī 2024. gadā saņēma 26,6 milj. euro lielu līdzfinansējumu CEF Energy ietvaros, un paredz, ka elektroenerģijas ražošanas iekārtas tiks uzstādītas  Latvijas-Igaunijas robežas tuvumā un daļa no iekārtām tiktu  novietotas arī Igaunijā. Ņemot vērā Eiropas Savienības savstarpēju interešu projektu regulējumu un  Latvijas nepieciešamību veicināt klimatneitralitātes mērķu sasniegšanu un enerģētiskās neatkarības nodrošināšanu samērā nelielā valsts teritorijā, kuras izmantošana turklāt ir ierobežota ar vides un drošības prasību izpildi, kā arī elektroenerģijas ražotāju interesi par iekārtu pārrobežu izvietojumu, pieslēdzot tās pie Latvijas elektroenerģijas sistēmas, nepieciešams normatīvais regulējums, kas ļautu elektroenerģijas ražotājiem ieviest šādus pārrobežu projektus, attiecīgi palielinot saražotās elektroenerģijas apjomu Latvijas elektroenerģijas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atjaunojamās enerģijas pārrobežu projektu sarakstā iekļauts Utilitas Eleja-Jonišķis vēja parka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Aktuālais regulējums elektroenerģijas sistēmu definē tikai kā valsts teritorijā esošu elektroenerģijas ražošanas iekārtu un pārvades un sadales sistēmas un elektroenerģijas patēriņa iekārtu kopumu elektroenerģijas transportēšanai no ražotāja līdz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aktuālajā regulējumā nav noteiktas sistēmas operatora tiesības pieslēgt elektroenerģijas sistēmai tādas iekārtas, kas ir izvietotas citā Eiropas Savienības dalībvalsts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Aktuālais regulējums neparedz arī elektroenerģijas ražošanas iekārtu ieviešanai nepieciešamo atļauju izsniegt uz pārrobežu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ETL,  paplašinot elektroenerģijas sistēmas definīciju, kā arī nosakot prasības pārrobežu iekārtas ieviešanai, tiek radīts tiesiskais pamats elektroenerģijas ražotājiem pieslēgt Latvijas elektroenerģijas sistēmai arī tās elektroenerģijas ražošanas iekārtas, kas izvietotas  citas Eiropas Savienības dalībvalsts teritorijā, ja elektroenerģijas ražotājs ir iecerējis pieslēgumu Latvijas elektroenerģijas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atbilst CEF regulā noteiktajam un nepieciešams pārrobežu projektu atjaunojamo energoresursu enerģijas jomā  īstenošanai, kā arī paplašinās elektroenerģijas ražotāju vai elektroenerģijas uzkrātuves operatoru iespējas pieslēgt ražošanas  vai uzkrāšanas iekārtas Latvijas sistēmai, nodrošinot lielāku elastību investīciju īstenošanā, kā arī palielinās ražošanas jaudas pieslēguma potenciāls, stiprinot Latvijas elektroenerģijas sistēmas integrāciju Eiropas Savienības iekšējā elektroenerģijas tirgū un enerģētisko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Valsts vides dienesta (turpmāk – dienests) atļauja jaunas elektroenerģijas ražošanas vai uzkrāšanas iekārtas ieviešanai vai jaudas palielināšanai elektroenerģijas ražotājam tiks izsniegta arī uz pārrobežu iekārtām, ja šo iekārtu ieviesējs papildus vispārīgā kārtībā noteiktajam iesniegs dienestā informāciju no ārvalsts atbildīgajām iestādēm par projekta atbilstību attiecīgās valsts normatīvajam regulējumam vides aizsardzības jomā un īpašuma vai valdījuma tiesības apliecinošu dokumentu par nekustamajiem īpašumiem citas Eiropas Savienības dalībvalsts teritorijā, kuros plānots ieviest jaunu elektroenerģijas ražošanas iekārtu vai elektroenerģijas uzkrātuvi, jo dienests var gūt informāciju par īpašuma vai valdījuma tiesībām no  Valsts vienotās datorizētās zemesgrāmatas tikai par Latvijas Republikas teritorijā esošajiem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kārtība, kādā saņemama atļauja, noteikta Ministru kabineta 2023. gada 19. decembra noteikumos Nr. 821 "Noteikumi par atļaujām jaunas elektroenerģijas ražošanas iekārtas ieviešanai vai elektroenerģijas ražošanas jaudas palielināšanai" (turpmāk – MK noteikumi Nr. 821).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sistēmas operatoram tiek atļauts pieslēgt sistēmai elektroenerģijas ražošanas vai uzkrāšanas iekārtu, kas izvietota arī citas Eiropas Savienības dalībvalsts teritorijā, ja elektroenerģijas ražotājs vai elektroenerģijas uzkrātuves operators sistēmas operatoram apliecina, ka iekārtas atbilst attiecīgās valsts, kurā izvietotas iekārtas normatīvajiem aktiem par valsts drošību un būvniecību. Šādu apliecinājumu sniegs iestādes, kas attiecīgajā valstī uzrauga būvatļauju izsniegšanas procesu, un atļauju no aizsardzības/nacionālās drošības institūcijām. Pēc šāda atzinuma saņemšanas sistēmas operators būs pārliecināts, ka tiesiskais process attiecīgajā elektroenerģijas iekārtu izvietojuma valstī ir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iekļauts regulējums arī situācijai, kad elektroenerģijas ražotājs vai elektroenerģijas uzkrātuves operators iecerējis pieslēgt elektroenerģijas ražošanas vai uzkrāšanas iekārtu, kas atrodas Latvijas Republikas teritorijā, citai Eiropas Savienības dalībvalsts elektroenerģijas pārvades vai sadales sistēmai. Tādā gadījumā atzinumu par elektroenerģijas ražošanas vai uzkrāšanas iekārtas atbilstību Latvijas Republikas normatīvo aktu prasībām sniedz dienests, kas Latvijā pilda vienotā kontaktpunkta pienākumus, pārliecinoties pirms tam par atbilstību normatīvajiem aktiem no publiskajām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izvērtējot iesniegtos dokumentus, izsniegs atļauju pārrobežu iekārtu ieviešanai vai jaudas palielināšanai, atjaunošanai, tādējādi nodrošinot jaudas monitoringu atbilstoši aktuālajai situācijai. Šāda atļauja nodrošinās arī sistēmas operatora pārliecību, ka nav tādu šķēršļu, kuru dēļ sistēmas operators nevarētu rezervēt attiecīgajam elektroenerģijas ražotājam jaudu Latvijas elektroenerģijas sistēmā elektroenerģijas ražošanai ar pārrobežu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pārrobežu iekārtu pieslēguma ierīkošanu attiecināms arī drošības naudas maksāšanas pienākums sistēmas jaudas rezervēšanai, kas noteikts ETL 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pārrobežu iekārtas daļu, kas atrodas Latvijas Republikas teritorijā, būs attiecināmas gan ekspluatācijas, gan demontāžas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Drošuma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Jaudas invertori tiek izmantoti visā pasaulē saules paneļus un vēja stacijās, kā arī elektroenerģijas uzkratuvēs. Tie ir kritiski sistēmas elementi, kas konvertē līdzstrāvu (no saules paneļiem vai uzkrātvēm) uz maiņstrāvu, ko var ievadīt sistēmā.  Invertori ir izstrādāti tā, lai būtu iespēja veikt to atjaunināšanu un apkopi attālināti, līdz ar to tie rada kiberdrošības riskus.  Ja invertoru programmatūrā ir ievainojamība, vāja autentifikācija vai nedeklarēti komunikācijas kanāli, pastāv iespēja apiet ugunsmūrus, radot iespēju neautorizētai piekļuvei vai tālvadībai no ārpuses.  Tas nozīmē, ka iebrucējs var pārtraukt vai manipulēt invertoru darbību, mainot to iestatījumus, pārtraukt elektroenerģijas ražošanas iekārtas vai uzkrātuves  darbību. Šāda piekļuve var teorētiski novest līdz masveida īslaicīgiem elektrotīkla pārtraukumiem vai destabilizēt atjaunojamo enerģiju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Invertori nav vienīgās iekārtas elektrostacijās, kas var radīt līdzīgus kiberdrošības riskus. Līdzīgu risku rada, piemēram, elektroenerģijas ražošanas iekārtu un uzkrātuvju releju aizsardzība  un automātika, jo  neautorizēta piekļuve var izraisīt nepamatotus atslēgumus vai aizsardzības neiedarbošanos.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nedraudzīgas valstis, kuras ražo elektroenerģijas ražošanas iekārtu vai uzkrātuvju darbībai nepieciešamo aprīkojumu vai programmatūru, kas ļauj elektroenerģijas ražošanas iekārtu vai uzkrātuvi vadīt attālināti, var izmantot minēto elektroenerģijas sistēmas ievainojamību, lai ietekmējot elektroenerģijas sistēmas stabilu darbību, izdarītu spiedienu uz valsti, radītu apdraudējumu nacionālajai drošībai.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Elektroenerģijas tirgus likumu ar regulējumu, kas stiprina elektroenerģijas pārvades sistēmas kiberdrošību un nacionālo drošību attiecībā uz pārvades sistēmai pieslēgtajām vai pieslēdzamajām elektroenerģijas ražošanas iekārtām, elektroenerģijas uzkrātuvēm un galalietotāju patēriņa iekārtām. Līdzšinējais regulējums paredzēja valsts drošības iestāžu atzinuma nepieciešamību tikai attiecībā uz elektroenerģijas ražošanas iekārtām ar uzstādīto jaudu virs 50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strauji pieaugot atjaunīgās elektroenerģijas ražošanai un elektroenerģijas uzkrāšanas risinājumu izmantošanai, kā arī attīstoties digitālajām vadības un attālinātās piekļuves tehnoloģijām, arī mazākas jaudas elektroenerģijas ražošanas, uzkrāšanas un patēriņa iekārtas var radīt riskus elektroapgādes drošībai un energosistēmas noturībai, ja tās tiek izmantotas ļaunprātīgi vai nonāk tādu personu kontrolē, kuru darbība var apdraudēt nacionālās drošības intereses. Nacionālās drošības risku izvērtēšana nav saistāma vienīgi ar uzstādīto jaudu, bet gan ar iespējamo apdraudējumu valsts drošības interesēm. Arī ņemot vērā ģeopolitisko situāciju, iepriekšējais regulējums drošības iestādes atzinuma prasībai, ja uzstādītā jauda ir lielāka par 50 MW, nav pamata, jo būtisks ir nevis uzstādītās jaudas apjoms, bet potenciālā ietekme uz pārvades sistēmas drošību no kiberdrošības un iekārtu  ražotāju reģistrācijas valsts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pārvades sistēmas operatoram tiesības noteikt un publicēt kiberdrošības prasības ražošanas, uzkrāšanas vai galalietotāju patēriņa iekārtu informācijas un vadības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ražotājs, elektroenerģijas uzkrātuves operators vai galalietotājs kopā ar pieslēguma ierīkošanas pieteikumu iesniedz pārvades sistēmas operatoram apliecinājumu par atbilstību pārvades sistēmas operatora noteiktajām kiberdrošības prasībām, kā arī par tā reģistrāciju un pilsonību un izmantoto iekārtu ražotāja reģistrācijas atbilstību  likumā noteikto valstu lokam. Šī informācija ir nepieciešama pārvades sistēmas operatoram iespējamo kiberdrošības risku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noteikta pārvades sistēmas operatora tiesība vērsties pie valsts drošības iestādēm, ja saņemtā informācija pārvades sistēmas operatoram radīs pamatotas šaubas attiecībā uz informācijas patiesumu, ko sniedzis elektroenerģijas ražotājs par tā reģistrācijas valsti, un tā pārvaldības subjektiem, norādot juridiskās personu reģistrācijas valsti un valdes locekļu, dalībnieku, padomes locekļu, kapitāla daļu īpašnieku un turētāju, patieso labuma guvēju un netiešās ietekmes guvēju pilsonību vai  elektroenerģijas ražošanas, uzkrāšanas un patēriņa iekārtu informācijas un vadības sistēmu ražotāju reģistrācijas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atbilstības izvērtējumu veiks pārvades sistēmas operators, kurš, pamatojoties uz tā rīcībā esošo informāciju, izvērtēs nepieciešamību vērsties kompetentajā valsts drošības iestādē atzinuma saņemšanai. Līdz ar to kompetentā valsts drošības iestāde atzinumu sniegs tikai tajos gadījumos, kad pārvades sistēmas operators konstatēs nepieciešamību veikt nacionālās drošības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pārvades sistēmas operators vērsās pie drošības iestādēm aptuveni ar  30  pieteikumu pārbaudi gadā, nav sagaidāms, ka šo pieteikumu skaits pieaugtu attiecībā pret iepriekšējo.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neparedz, ka katrā gadījumā kompetentajai valsts drošības iestādei tiks pieprasīts atzinums. Vienlaikus, valsts drošības iestādes savas kompetences ietvaros var sniegt atzinumu arī gadījumos, ja pārvades sistēmas operators nav vērsies ar šādu lūgumu. Tādā gadījumā pārvades sistēmas operators rīkojas atbilstoši atzinumā konstatētajam.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gadījumus, kuros pārvades sistēmas operatoram ir pienākums atteikt elektroenerģijas ražošanas, uzkrāšanas vai patēriņa iekārtas pieslēgšanu pārvades sistēmai vai to atslēgt no pārvades sistēmas. Šāds pienākums ir noteikts tikai tad, ja ir iestājies kāds no likumā tieši paredzētajiem apstākļiem,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valsts drošības iestāde ir sniegusi negatīvu atzinumu par elektroenerģijas ražotāju, elektroenerģijas uzkrātuves operatoru vai galalietotāju;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ražotājs, elektroenerģijas uzkrātuves operators vai galalietotājs nav iesniedzis likumā noteikto informāciju vai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pieslēdzamo elektroenerģijas ražošanas, uzkrāšanas vai patēriņa iekārtu informācijas un vadības sistēmu ražotāja reģistrācijas valsts neatbilst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gadījumos pārvades sistēmas operatoram nav rīcības brīvības lemt par pieslēguma piešķiršanu, jo likumā ir noteikts pienākums atteikt pieslēgumu vai atslēgt iekārtu no pārvades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citos šā panta gadījumos, piemēram, ja nav izpildītas pārvades sistēmas operatora noteiktās kiberdrošības prasības, pārvades sistēmas operators pirms lēmuma pieņemšanas veic individuālu risku izvērtējumu un, ņemot vērā konstatēto risku raksturu un iespējamo ietekmi uz pārvades sistēmas drošību, noturību un nepārtrauktu darbību, lemj par nepieciešamību atteikt pieslēgumu vai atslēgt iekārtu no pārvades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noteikumi paredz samērīgu pārejas periodu elektroenerģijas ražotājiem un elektroenerģijas uzkrātuvju operatoriem, kuru iekārtas jau ir pieslēgtas pārvades sistēmai vai kuri tehniskās prasības pieslēguma ierīkošanai ir saņēmuši pirms jaunā regulējuma spēkā stāšanās. Pārejas periods ir nepieciešams, lai attiecīgās personas varētu veikt nepieciešamos tehniskos pasākumus, lai ieviestu atbilstošus kiberdrošības procesus, veiktu iekārtu vai programmatūras nomaiņu un nodrošinātu atbilstību jaunajām prasībām. Vienlaikus tiek ievērots tiesiskās paļāvības princips, nodrošinot, ka jau uzsāktie projekti var tikt īstenoti atbilstoši iepriekš izsniegtajiem pieslēguma nosacījumiem. Tādēļ likumprojektā noteiktās prasības attiecībā uz elektroenerģijas pārvades sistēmas kiberdrošības un nacionālo drošību sistēmas lietotājiem ir  noteiktas ar atšķirīgu izpildes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tiesības piekļūt datiem par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5.</w:t>
      </w:r>
      <w:r w:rsidR="00000000" w:rsidRPr="00000000" w:rsidDel="00000000">
        <w:rPr>
          <w:vertAlign w:val="superscript"/>
          <w:rtl w:val="0"/>
        </w:rPr>
        <w:t xml:space="preserve">1</w:t>
      </w:r>
      <w:r w:rsidR="00000000" w:rsidRPr="00000000" w:rsidDel="00000000">
        <w:rPr>
          <w:rtl w:val="0"/>
        </w:rPr>
        <w:t xml:space="preserve"> pants cita starpā nosaka Elektroenerģijas tirgus datu apmaiņas un uzglabāšanas platformas (turpmāk - datu platforma) lietošanas tiesības. Tomēr pārvades sistēmas operators, veicot tam noteiktās funkcijas, šobrīd nevar piekļūt datu platformā pieejamajiem datiem, jo akciju sabiedrība "Sadales tīkls", kas ir datu platformas pārvaldnieks, saskaņā ar ETL 5.</w:t>
      </w:r>
      <w:r w:rsidR="00000000" w:rsidRPr="00000000" w:rsidDel="00000000">
        <w:rPr>
          <w:vertAlign w:val="superscript"/>
          <w:rtl w:val="0"/>
        </w:rPr>
        <w:t xml:space="preserve">1</w:t>
      </w:r>
      <w:r w:rsidR="00000000" w:rsidRPr="00000000" w:rsidDel="00000000">
        <w:rPr>
          <w:rtl w:val="0"/>
        </w:rPr>
        <w:t xml:space="preserve"> panta ceturto daļu ir jānodrošina platformā esošo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ko pārvades sistēmas operatoram nepieciešams iegūt no datu platformas, ir pārvades sistēmas operatora klientu dati, kas nepieciešami nebalansa norēķiniem, izcelsmes apliecinājumu pārvaldībai, agregācijas norēķiniem (nākotnē), ģenerācijas, patēriņa, tīkla plūsmu prognozēšanai, balansēšanas un regulēšanas pakalpojumu sniedzēju līgumu izpildes kontrolei. Minētie pārvades sistēmas operatora klienti ir vienīgi juridiskās personas (elektroenerģijas ražotāji un lietotāji), ar kuriem ir noslēgts sistēmas pakalpojuma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ierobežojumu, ar likumprojektu tiek rosināts noteikt, ka pārvades sistēmas operatoram ir tiesības piekļūt nepieciešamajiem datiem tādā apjomā, kāds ir objektīvi nepieciešams tā normatīvajos aktos noteikto funkciju izpildei, nodrošinot datu izmantošanu noteiktam un tiesiskam mērķim, datu drošību, konfidencialitāti un aizsardzību pret neatļautu piekļuvi, izpaušanu, grozīšanu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minētajām tiesībām tiks nodrošināta pārvades sistēmas operatora piekļuve vienīgi juridisko personu datiem, regulējums neskar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datu platformas turētājam sadales sistēmas operatoram AS "Sadales tīkls", nodrošinot pārvades sistēmas operatora piekļuvi datiem reāllaikā, nepieciešams veikt datu platformas pielāgojumus, projekts paredz pārejas periodu, līdz kuram šī piekļuve ir jānodrošina. Pārejas periodā informācijas apmaiņa tiks nodrošināta manuālā režīmā, ciktāl tas tehniski būs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Elektrotransportlīdzekļu uzlādes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 regulējošie tiesību akti šobrīd neparedz īpašas funkcionalitātes prasības elektrotransportlīdzekļu uzlādes punktiem, lai tos varētu pieslēgt sadales sistēmai. Tomēr līdz ar direktīvu Nr. 2024/1711 dalībvalstīm ir noteikts pienākums nodrošināt tiesisko regulējumu, lai veicinātu to, ka sadales tīkliem tiek pieslēgti publiski pieejami un privāti uzlādes punkti, kuriem ir viedās uzlādes funkcija un divvirzienu uzlādes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2023. gada 13. septembra regulas (ES) Nr. 2023/1804 </w:t>
      </w:r>
      <w:r w:rsidR="00000000" w:rsidRPr="00000000" w:rsidDel="00000000">
        <w:rPr>
          <w:i w:val="1"/>
          <w:rtl w:val="0"/>
        </w:rPr>
        <w:t xml:space="preserve">par alternatīvo degvielu infrastruktūras ieviešanu un ar ko atceļ Direktīvu 2014/94/ES</w:t>
      </w:r>
      <w:r w:rsidR="00000000" w:rsidRPr="00000000" w:rsidDel="00000000">
        <w:rPr>
          <w:rtl w:val="0"/>
        </w:rPr>
        <w:t xml:space="preserve"> 15. panta 4. punktā paredzēto pienākumu Sabiedrisko pakalpojumu regulēšanas komisija (turpmāk - Regulators) 2024. gadā ir veikusi </w:t>
      </w:r>
      <w:r w:rsidR="00000000" w:rsidRPr="00000000" w:rsidDel="00000000">
        <w:rPr>
          <w:i w:val="1"/>
          <w:rtl w:val="0"/>
        </w:rPr>
        <w:t xml:space="preserve">Novērtējumu par divvirzienu uzlādes potenciālo ietekmi uz lietošanas un sistēmas izmaksu samazināšanos un atjaunīgās elektroenerģijas  īpatsvara palielināšanos elektroenerģijas  sistēmā. </w:t>
      </w:r>
      <w:r w:rsidR="00000000" w:rsidRPr="00000000" w:rsidDel="00000000">
        <w:rPr>
          <w:rtl w:val="0"/>
        </w:rPr>
        <w:t xml:space="preserve">(https://www.sprk.gov.lv/sites/default/files/editor/ED/Elektroenergija/2024/Novertejums_par_AFIR_regulu_gala.pdf). Novērtējumā cita starpā secināts, ka divvirzienu uzlāde potenciāli varētu radīt lielāku elektroenerģijas pieprasījumu zemu cenu periodos, ko varētu izraisīt atjaunīgās elektroenerģijas pieaugums nākotnē, kā arī lielāku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piedāvājumu augstu cenu periodos. Divvirzienu uzlāde varētu līdzsvarot elektroenerģijas pārpalikumu pavasara un vasaras mēnešos, tā ierobežojot elektroenerģijas cenas svārstības un nepārslogojot sistēmas jaudas. Divvirzienu uzlādes iekārtas potenciāli varētu arī sniegt pienesumu elektroenerģijas sistēmas jaudas balansa uzturēšanai. Vienlaikus novērtējumā tiek konstatēts, ka sadales sistēmas operators akciju sabiedrība "Sadales tīkls" līdz šim arī nav noslēdzis līgumus par pieprasījuma reakcijas pakalpojumiem, elastības pakalpojumiem u.c. pakalpojumiem, kuru sniegšanai tiktu izmantotas divvirzienu uzlādes punktu sniegtās iespējas sadales sistēmas darbības nodrošināšanas vajadzībām. Tiek secināts, ka ir nepieciešami pilotprojekti, informācijas kampaņas un finansiāls atbalsts sistēmas operatoru pētniecības un attīstības izmaksu segšanai, lai veicinātu izpētes projektu apjomu inovatīvo uzlādes tehnoloģiju izpētē.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novērtējumā konstatēto, secināms, ka šobrīd Latvijā nav pieprasījuma pēc pakalpojumiem, kuru nodrošināšanai būtu nepieciešama publiski pieejamu elektrotransportlīdzekļu uzlādes punktu aprīkošana ar divvirzienu uzlādes funkciju, tādēļ šāda funkcionalitāte publiski pieejamiem elektrotransportlīdzekļu uzlādes punktiem nebūtu nosakāma kā obligāta prasība. Vienlaikus būtu nepieciešams ar direktīvu Nr. 2024/1711 saskaņots regulējums, kas, attīstoties elektrotransportlīdzekļu uzlādes pakalpojumiem, nodrošinātu šādas funkcionalitātes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sadales sistēmas operators pēc elektrotransportlīdzekļu uzlādes punkta operatora pieprasījuma nodrošina nepieciešamo sistēmas pieslēgumu, lai sadales sistēmai pieslēgtu elektrotransportlīdzekļu uzlādes punktu aprīkotu ar viedās uzlādes funkciju un divvirzienu uzlādes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rīcībā esošās elektroenerģijas uzkrātuves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11. pantā ir paredzēti izņēmuma gadījumi, kad pārvades sistēmas operators var piedalīties elektroenerģijas tirdzniecībā, tai skaitā, ja elektroenerģijas vai jaudas pirkšana un pārdošana ir nepieciešama sistēmas balansēšanai u.c. gadījumos. Savukārt ETL pārejas noteikumu 103. punkts paredz iespēju pārvades sistēmas operatoram minētajiem mērķiem iegādāties, uzstādīt, attīstīt, pārvaldīt un ekspluatēt elektroenerģijas uzkrātuvi. ETL pārejas noteikumu 104. punkts noteic, ka ne vēlāk kā piecu gadu laikā pēc pārvades sistēmas operatora elektroenerģijas uzkrātuves ekspluatācijas uzsākšanas regulators atbilstoši ETL 16.</w:t>
      </w:r>
      <w:r w:rsidR="00000000" w:rsidRPr="00000000" w:rsidDel="00000000">
        <w:rPr>
          <w:vertAlign w:val="superscript"/>
          <w:rtl w:val="0"/>
        </w:rPr>
        <w:t xml:space="preserve">3</w:t>
      </w:r>
      <w:r w:rsidR="00000000" w:rsidRPr="00000000" w:rsidDel="00000000">
        <w:rPr>
          <w:rtl w:val="0"/>
        </w:rPr>
        <w:t xml:space="preserve"> panta ceturtajai daļai izvērtē nepieciešamību pārskatīt ETL 16.</w:t>
      </w:r>
      <w:r w:rsidR="00000000" w:rsidRPr="00000000" w:rsidDel="00000000">
        <w:rPr>
          <w:vertAlign w:val="superscript"/>
          <w:rtl w:val="0"/>
        </w:rPr>
        <w:t xml:space="preserve">3</w:t>
      </w:r>
      <w:r w:rsidR="00000000" w:rsidRPr="00000000" w:rsidDel="00000000">
        <w:rPr>
          <w:rtl w:val="0"/>
        </w:rPr>
        <w:t xml:space="preserve"> panta pirmās daļas 2. punktā noteiktajā kārtībā izsniegto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Latvijas pārvades sistēmas operatoram izmantot elektroenerģijas uzkrātuves balansēšanas vajadzībām ir noteikta saskaņā ar direktīvā Nr. 2024/1711 paredzēto izņēmumu Latvijai, Igaunijai un Lietuvai. Tomēr direktīva Nr. 2024/1711 noteic, ka paredzētās izņēmuma normas piemēro ne ilgāk kā trīs gadus pēc tam, kad Latvija, Igaunija un Lietuva ir pievienojušās kontinentālās Eiropas sinhronajai zonai. Ja tas nepieciešams piegādes drošības saglabāšanai, Eiropas Komisija var pagarināt sākotnējo trīs gadu laikposmu ne vairāk kā par pieciem gadiem. Tādējādi spēkā esošās ETL normas nepieciešams saskaņot ar direktīvā Nr. 2024/1711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precizētas ETL pārejas noteikumu 103. punkta normas, saskaņojot tās ar direktīvā Nr. 2024/1711 noteiktajiem termiņiem. Tā kā Latvija, Igaunija un Lietuva par Eiropas pārvades sistēmas operatoru tīkla ENTSO-E Kontinentālās Eiropas reģionālās grupas pilntiesīgiem biedriem kļuva 2025. gada 25. novembrī, par direktīvā minēto trīs gadu termiņu izņēmuma normu piemērošanai ir uzskatāms 2028. gada 24. novembris.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ETL pārejas noteikumu 104. punktā tiek noteikts, ka Regulators ne agrāk kā sešus mēnešus pirms ETL pārejas noteikumu 103. punktā minētā termiņa beigām organizē pirmo šā likuma 16.</w:t>
      </w:r>
      <w:r w:rsidR="00000000" w:rsidRPr="00000000" w:rsidDel="00000000">
        <w:rPr>
          <w:vertAlign w:val="superscript"/>
          <w:rtl w:val="0"/>
        </w:rPr>
        <w:t xml:space="preserve">3</w:t>
      </w:r>
      <w:r w:rsidR="00000000" w:rsidRPr="00000000" w:rsidDel="00000000">
        <w:rPr>
          <w:rtl w:val="0"/>
        </w:rPr>
        <w:t xml:space="preserve"> panta ceturtajā daļā minēto publisko konsultāciju. Ja šā likuma pārejas noteikumu 103. punktā minētais termiņš netiek pagarināts vai pēc Eiropas Komisijas noteiktā termiņa, regulators, pamatojoties uz pārvades sistēmas operatora priekšlikumu, lemj par pārvades sistēmas operatora elektroenerģijas uzkrātuves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tirdzniecības līgumu risku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ietvertajā 18.a pantā ir noteiktas tiesību normas, kas nosaka pienākumu elektroenerģijas tirgotājam īstenot nodroses stratēģijas, vienlaikus paredzot arī šī pienākuma izpildes uzraudzības normas. Latvijā spēkā esošajos enerģētikas jomu regulējošajos tiesību aktos nav noteikti pienākumi, kas attiektos uz nodroses jeb tirdzniecības līgumu risku vadības pasākumu īstenošanu un to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direktīvā Nr. 2024/1711 noteiktajam ETL tiek papildināts ar jaunu pantu, nosakot tirgotājiem pienākumu ieviest un īstenot pasākumu kopumu elektroenerģijas tirdzniecības līgumu risku vadībai, lai ierobežotu elektroenerģijas vairumtirdzniecības piegādes izmaiņu riska ietekmi uz ar lietotājiem noslēgto līgumu ekonomisko dzīvotspēju, vienlaikus saglabājot likviditāti un cenu signālus no īstermiņa elektroenerģijas tirgiem. Tiek noteikts arī pienākums veikt pasākumus, lai mazinātu no elektroenerģijas tirdzniecības līgumiem izrietošo saistību izpildes riskus, kā arī samazinātu vai ierobežotu finanšu riskus, kas saistīti ar elektroenerģijas cenu vai citu finansiālu svārstību izmaiņām. Ar elektroenerģijas piegādes traucējumiem saistītie riski neietver riskus, kas saistīti ar elektroapgādes infrastruktūras tehnisko stāvokli u.c. tehniskajiem aspektiem, par kuriem ir atbildīgi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direktīvā Nr. 2024/1711 ietvertajā 18.a pantā ir paredzēts, ka noteiktos pienākumus dalībvalstis īsteno, ņemot vērā piegādātāja (elektroenerģijas tirgotāja) lielumu vai tirgus struktūru, likumprojektā paredzētie risku vadības pasākumi tiek noteikti elektroenerģijas tirgotājiem, kas sniedz elektroenerģijas tirdzniecības pakalpojumu vairāk nekā 10 000 lietotāju. Likumprojekts nosaka pienākumu regulatoram uzraudzīt minēto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tirgotāju, kuriem ir mazāk par 10 000 lietotāju, riskus (piemēram, nespēju nodrošināt elektroenerģijas tirdzniecības pakalpojumu elektroenerģijas cenu pieauguma gadījumā), kas var apdraudēt elektroenerģijas tirdzniecības pakalpojuma turpmāku nodrošināšanu, nosedz pēdējās garantētās piegādes pakalpojums galalietotājiem, kuriem nav spēkā esoša elektroenerģijas tirdzniecības līguma, kā arī Ministru kabineta 2024.gada 3.septembra noteikumi Nr.592 "Energoapgādes izmaksu valsts atbalsta noteikumi", kas paredz nosacījumus, ar kādiem mājsaimniecībām sniedzams atbalsts maksas samazinājumam par Energoapgādes izmaksu valsts atbalsta likuma 2.panta otrajā daļā minētajiem patērētajiem energoresursiem, sniedzamā atbalsta apmēru, kā arī šā atbalsta finansēšanas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Publicējamā informācija par brīvajām sistēmas jaudām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2024/1711 2. panta 10. punktā ietvertais direktīvas Nr. 2019/944 31. panta 3. punkts cita starpā paredz, ka sadales sistēmas operatoram jāpublicē informācija par kritērijiem, ko izmanto jauniem pieslēgumiem pieejamās jaudas aprēķināšanai. ETL 9. panta 1.</w:t>
      </w:r>
      <w:r w:rsidR="00000000" w:rsidRPr="00000000" w:rsidDel="00000000">
        <w:rPr>
          <w:vertAlign w:val="superscript"/>
          <w:rtl w:val="0"/>
        </w:rPr>
        <w:t xml:space="preserve">1</w:t>
      </w:r>
      <w:r w:rsidR="00000000" w:rsidRPr="00000000" w:rsidDel="00000000">
        <w:rPr>
          <w:rtl w:val="0"/>
        </w:rPr>
        <w:t xml:space="preserve"> daļa jau šobrīd paredz pienākumu sistēmas operatoram publicēt informāciju par brīvajām sistēmas jaudām ražošanas un patēriņa pieslēgumu nodrošināšanai. Tomēr tiesību akti neparedz pienākumu līdz ar minēto informāciju publicēt arī kritērijus, kas tiek izmantoti jauniem pieslēgumiem pieejamās jaudas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ETL 9. panta 1.</w:t>
      </w:r>
      <w:r w:rsidR="00000000" w:rsidRPr="00000000" w:rsidDel="00000000">
        <w:rPr>
          <w:vertAlign w:val="superscript"/>
          <w:rtl w:val="0"/>
        </w:rPr>
        <w:t xml:space="preserve">1</w:t>
      </w:r>
      <w:r w:rsidR="00000000" w:rsidRPr="00000000" w:rsidDel="00000000">
        <w:rPr>
          <w:rtl w:val="0"/>
        </w:rPr>
        <w:t xml:space="preserve"> daļa, nosakot pienākumu sadales sistēmas operatoram publicēt arī informāciju par kritērijiem, ko izmanto jauniem pieslēgumiem pieejamās jaudas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Ierobežojamais pārvades sistēmas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ETL 16.</w:t>
      </w:r>
      <w:r w:rsidR="00000000" w:rsidRPr="00000000" w:rsidDel="00000000">
        <w:rPr>
          <w:vertAlign w:val="superscript"/>
          <w:rtl w:val="0"/>
        </w:rPr>
        <w:t xml:space="preserve">4</w:t>
      </w:r>
      <w:r w:rsidR="00000000" w:rsidRPr="00000000" w:rsidDel="00000000">
        <w:rPr>
          <w:rtl w:val="0"/>
        </w:rPr>
        <w:t xml:space="preserve"> panta pirmās daļas 3. apakšpunkts paredz pārvades sistēmas operatoram tiesības izsniegt tehniskās prasības elektroenerģijas uzkrātuves pieslēgšanai pie pārvades sistēmas par tādu elektroenerģijas uzkrātuves jaudu, kādu pieprasījis elektroenerģijas uzkrātuves operators, neņemot vērā brīvo pārvades sistēmas jaudu. Attiecīgi var izveidoties situācija, ka neierobežotā apmērā uzstādot elektroenerģijas uzkrātuves, kurām nepieciešama sistēmas jauda gan elektroenerģijas ražošanai, gan patēriņam, brīvas pārvades sistēmas jaudas elektroenerģijas lietotājiem (patēriņam) var tikt ātri aizņemtas, tādējādi ierobežojot to pieejamību nozīmīgiem lietotājiem, kuriem pieejama elektroenerģija ir nepieciešama to pamatdarbības nodrošināšanai (piemēram, energoietilpīgiem uzņēmumiem, elektrificētai transporta infrastruktūrai, t.sk. elektroautomobiļu ātrās uzlādes stacijām), neatkarīgi no elektroenerģijas tirgus cenu svārstībām. Lai nodrošinātu pārvades sistēmas stabilu darbību un brīvās pārvades sistēmas jaudas pieejamību lietotājiem, ETL ir nepieciešams noteikt pārvades sistēmas operatora tiesības elektroenerģijas uzkrātuvēm ne tikai ierobežot elektroenerģijas nodošanu sistēmā, bet arī ierobežot elektroenerģijas saņemšanu no pārvades sistēmas. Šādu pārvades sistēmas operatora tiesību esamība būtu būtisks faktors, nosakot brīvo pārvades sistēmas jaudu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papildināt ETL 16.</w:t>
      </w:r>
      <w:r w:rsidR="00000000" w:rsidRPr="00000000" w:rsidDel="00000000">
        <w:rPr>
          <w:vertAlign w:val="superscript"/>
          <w:rtl w:val="0"/>
        </w:rPr>
        <w:t xml:space="preserve">4</w:t>
      </w:r>
      <w:r w:rsidR="00000000" w:rsidRPr="00000000" w:rsidDel="00000000">
        <w:rPr>
          <w:rtl w:val="0"/>
        </w:rPr>
        <w:t xml:space="preserve"> panta pirmās daļas 3. punktu un septīto daļu, nosakot tiesības pārvades sistēmas operatoram ierobežot elektroenerģijas uzkrātuvēm arī elektroenerģijas saņemšanu sistēmā. Minētais papildinājums nostiprinās ETL jau noteikto principu, ka elektroenerģijas uzkrātuvju uzstādīšana un ierobežojamā pārvades sistēmas pakalpojuma saņemšana nesamazina brīvo pārvades sistēmas jaudu.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Publiski pieejamie dati par atļaujām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atļaujas elektroenerģijas ražošanas iekārtu ieviešanai, jaudu palielināšanai vai atjaunošanai, kas tika izsniegtas elektroenerģijas ražotājiem, nav publiski pieejami dati, kas ir pretrunā ar Eiropas Parlamenta un Padomes 2023. gada 18. oktobra direktīvas (ES) 2023/2413 par no atjaunojamajiem energoresursiem iegūtas enerģijas izmantošanas veicināšanu 16. panta devīto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iecerēts noteikt dienesta tiesības publicēt informāciju par atļauju lēmumiem, lai ievērotu Eiropas Savienības caurspīdīguma principus, kas noteikti Eiropas Parlamenta un Padomes 2023. gada 18. oktobra direktīvas (ES) 2023/2413  par no atjaunojamajiem energoresursiem iegūtas enerģijas izmantošanas veicināšanu 1. panta 7. punktā (Direktīvas 2018/2001 16. panta 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Izcelsmes apliecinājumu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ražotājs, kurš elektroenerģijas ražošanai izmanto atjaunojamos energoresursus vai augstas efektivitātes koģenerāciju, var saņemt izcelsmes apliecinājumu. Minimālais elektroenerģijas apjoms, par kuru izsniedz izcelsmes apliecinājumu, ir viena megavatstunda. Par katru saražotās elektroenerģijas vienību izsniedz ne vairāk kā vienu izcelsmes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ieviestas pārrobežu iekārtas, uzskaite par saražotās elektroenerģijas daudzumu būtu apgrūtināta, jo aktuālajā likuma redakcijā šāda iespēja ir noteikta tikai Latvijas valstī novietotajām elektroenerģijas ražošanas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elektroenerģijas uzskaites neprecizitātes un elektroenerģijas ražotāju izcelsmes apliecinājuma saņemšanas sarežģījumus, likumprojektā paredzēts precizējums, ka elektroenerģijas uzskaitē tiek ņemts vērā arī elektroenerģijas ražošanas pārrobežu iekārtu saražotais elektroenerģijas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Maksa par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12. panta 2. punkts nosaka pienākumu dalībvalstīm nodrošināt, ka vismaz no mājsaimniecības lietotājiem un mazajiem uzņēmumiem neiekasē nekādu maksu saistībā ar elektroenerģijas tirgotāja maiņu. Maksa par tirgotāja maiņu Latvijā jau šobrīd netiek piemērota, tomēr, lai direktīvā paredzētais pienākums būtu formāli pārņemts, nepieciešams atbilstoši direktīvas prasībai papildināt ETL 35. pantu. Jāņem vērā, ka pienākums nodrošināt, ka elektroenerģijas lietotāji var bez maksas mainīt tirgotāju, neskar dalībvalstu tiesības noteikt  papildu regulējumu gadījumiem, kad tiek izbeigti fiksētas cenas elektroenerģijas tirdzniecības līgumi pirms līgumā paredzētā termiņa.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grozīta ETL 35. panta pirmā daļa, nosakot, ka galalietotājiem netiek piemērota maksa par elektroenerģijas tirgotāja un agregatora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Fiksētas cenas elektroenerģijas tirdzniecības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novembra noteikumu Nr. 635 "Elektroenerģijas tirdzniecības un lietošanas noteikumi" (turpmāk - MK noteikumi Nr. 635) 23. un 37. punktu tirgotājam ir tiesības fiksētas cenas elektroenerģijas tirdzniecības līgumos noteikt maksu par līgumu pirmstermiņa izbeigšanu. Šāda maksa ir pamatojama ar to, ka, slēdzot fiksētas cenas līgumus, katra no līgumslēdzējām pusēm - gan tirgotāji, gan lietotāji - uzņemas savas komerciālās saistības, kuru neizpilde līguma pirmstermiņa izbeigšanas gadījumā var radīt otrai līgumslēdzējai pusei kompensējamus finansiālos zaudējumus. Iespējai divpusējos tirdzniecības līgumos ietvert zaudējumu kompensēšanas mehānismu ir izšķiroša nozīme, lai tirgotāji būtu ieinteresēti elektroenerģijas tirgū piedāvāt fiksētas cenas elektroenerģijas līgumus, tādējādi paplašinot lietotājiem pieejamo pakalpojumu klāstu un veicinot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635, tāpat kā vairākos Ministru kabineta noteikumos, kas bija spēkā pirms MK noteikumiem Nr. 635, ir noteiktas tirgotāju tiesības fiksētas cenas elektroenerģijas tirdzniecības līgumos noteikt maksu par līgumu pirmstermiņa izbeigšanu. Šādas tiesības ir noteiktas, pamatojoties uz ETL 32. panta piektajā daļā Ministru kabinetam doto pilnvarojumu noteikt kārtību, kādā lietotājiem piegādā elektroenerģiju un pārtrauc tās piegādi, tirgotāju, sistēmas operatoru, elektroenerģijas ražotāju, elektroenerģijas uzkrātuves operatoru un lietotāju tiesības un pienākumus elektroenerģijas piegādē, ražošanā un lietošanā, kā arī norēķinos par saņemtajiem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dalībvalstīm atļaut tirgotājiem piemērot fiksētas cenas līgumu pirmstermiņa izbeigšanas maksu izriet arī no direktīvas Nr.2019/944 12. panta 3. punkta, kas noteic, ka </w:t>
      </w:r>
      <w:r w:rsidR="00000000" w:rsidRPr="00000000" w:rsidDel="00000000">
        <w:rPr>
          <w:i w:val="1"/>
          <w:rtl w:val="0"/>
        </w:rPr>
        <w:t xml:space="preserve">[..] dalībvalstis var izvēlēties atļaut piegādātājiem vai tirgus dalībniekiem, kas iesaistīti agregēšanā, iekasēt no lietotājiem maksu par līguma izbeigšanu, ja minētie lietotāji pēc savas vēlēšanās izbeidz elektroenerģijas piegādes līgumus ar fiksētu termiņu, fiksētu cenu pirms līguma termiņa beigām, ar noteikumu, ka šādas maksas ir paredzētas līgumā, kuru patērētājs pēc savas vēlēšanās noslēdzis, un ka lietotājs par šādām maksām ir skaidri informēts pirms līguma noslēgšanas.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kā minētais fiksētas cenas elektroenerģijas tirdzniecības līgumu nosacījums tiek piemērots praksē, ir secināts, ka esošo regulējumu ir iespējams pilnveidot, nodrošinot labāku līdzsvaru starp lietotāju, īpaši mājsaimniecību un mazo un vidējo uzņēmumu, un tirgotāju interešu ievērošanu līguma pirmstermiņa izbeigšanas gadījumā. Papildu nosacījumus, kas attiecas uz fiksētas elektroenerģijas cenas līgumiem, paredz arī direktīvā Nr. 2024/1711 ietvertais regulējums, kura atsevišķas normas nepieciešams pārņemt Latvijas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 gadā globālo ekonomisko un politisko procesu ietekmē arī Latvijā bija novērojams ārkārtējs un iepriekš neprognozēts elektroenerģijas cenas pieaugums. Meklējot risinājumus cenu pieauguma radīto risku mazināšanai, daudzi elektroenerģijas lietotāji, tostarp komersanti, lauza iepriekš noslēgtos dinamiskās elektroenerģijas cenas līgumus (elektroenerģijas piegādes līgums starp elektroenerģijas tirgotāju un galalietotāju, kurā atspoguļotas elektroenerģijas cenu variācijas elektroenerģijas tirgū katrā tirdzniecības intervālā), to vietā izvēloties fiksētas elektroenerģijas cenas līgumus. Ņemot vērā, ka fiksētas cenas līgumi šādos tirgus nenoteiktības apstākļos radīja būtiskus riskus arī elektroenerģijas tirgotājiem, elektroenerģijas cena, kas tika noteikta šajos līgumos, bija augstāka nekā tā būtu prognozējamos tirgus apstākļos. Elektroenerģijas tirgus procesiem stabilizējoties un vienlaikus krītoties arī elektroenerģijas cenai, enerģijas cenu krīzes laikā noslēgtie fiksētas elektroenerģijas cenas līgumi komersantiem kļuva būtiski neizdevīgi, radot zaudējumus un negatīvi ietekmējot to konkurētspēju. Fiksētas cenas līgumi tipiskos gadījumos noteic, ka, izbeidzot līgumu, komersantam ir pienākums maksāt elektroenerģijas tirgotājam tirdzniecības līguma pirmstermiņa izbeigšanas maksu, tādējādi kompensējot tirgotājam radītos zaudējumus, tomēr šādu saistību izpilde var radīt ievērojamas izmaksas galalietotājiem, īpaši negatīvi ietekmējot mazos un vidējos uzņēmumus. Izvērtējot esošo situāciju elektroenerģijas tirdzniecības produktu piedāvājumā, secināms, ka elektroenerģijas tirgotāji šobrīd nepiedāvā tādus produktus, kas paredzētu iespēju noslēgt fiksētas elektroenerģijas cenas līgumu bez līguma pirmstermiņa izbeigšanas maksas noteikšanas.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fiksētas cenas elektroenerģijas tirdzniecības līgumu pirmstermiņa izbeigšana būtu jānodala no lietotāju tiesībām mainīt elektroenerģijas tirgotāju. ETL 35. panta pirmā daļa jau šobrīd nosaka galalietotāju tiesības katra mēneša pirmajā datumā bez ierobežojumiem mainīt elektroenerģijas tirgotāju. Maksa par tirgotāja maiņu galalietotājiem netiek piemērota. Vienlaikus maksa var tikt piemērota fiksētas cenas elektroenerģijas tirdzniecības līgumu pirmstermiņa izbeigšanas gadījumā, ja līgumā šāda maksa ir paredzēta. Ņemot vērā fiksētas cenas elektroenerģijas līgumu specifiku, šis princips tiesību aktos būtu saglabājams arī turpmāk. Lai arī tiesības tirgotājiem noteikt šādu maksu jau šobrīd izriet no MK noteikumiem Nr. 635, tiesiskās skaidrības nodrošināšanai tās būtu jānosaka ETL. Vienlaikus, lai paplašinātu elektroenerģijas lietotājiem pieejamo elektroenerģijas tirdzniecības pakalpojumu klāstu visievainojamākajām elektroenerģijas lietotāju kategorijām - mājsaimniecībām un mazajiem un vidējiem uzņēmumiem -, likumā arī būtu jānosaka, ka vismaz lielākajiem tirgotājiem ir pienākums iekļaut savos elektroenerģijas tirdzniecības pakalpojuma piedāvājumos vismaz vienu fiksētas elektroenerģijas cenas līguma piedāvājumu mājsaimniecībām un mazajiem un vidējiem uzņēmumiem bez maksas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ietvertajā direktīvas Nr.2019/944 11. panta 1. punkta trešā daļa noteic - dalībvalstis nodrošina, ka piegādātāji vienpusēji negroza noteikta laika, nemainīgas cenas elektroenerģijas piegādes līgumu noteikumus un neizbeidz šādus līgumus pirms to termiņa beigām. Šobrīd Latvijā spēkā esošais regulējums ļauj tirgotājiem vienpusēji grozīt jebkurus elektroenerģijas tirdzniecības līgumus, tādēļ būtu jāveic grozījumi ETL.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ETL 35. panta pirmā daļa tiek izteikta jaunā redakcijā, nosakot, ka galalietotājiem netiek piemērota maksa par elektroenerģijas tirgotāja un agregatora maiņu. Papildus tam ETL 35. pants tiek papildināts ar jaunu daļu, paredzot, ka fiksētas elektroenerģijas cenas līgumos var paredzēt maksu par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32.</w:t>
      </w:r>
      <w:r w:rsidR="00000000" w:rsidRPr="00000000" w:rsidDel="00000000">
        <w:rPr>
          <w:vertAlign w:val="superscript"/>
          <w:rtl w:val="0"/>
        </w:rPr>
        <w:t xml:space="preserve">3</w:t>
      </w:r>
      <w:r w:rsidR="00000000" w:rsidRPr="00000000" w:rsidDel="00000000">
        <w:rPr>
          <w:rtl w:val="0"/>
        </w:rPr>
        <w:t xml:space="preserve"> pants tiek papildināts ar jaunām daļām, kas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tirgotājiem, kas elektroenerģiju piegādā vairāk par divsimt tūkstošiem galalietotāju, savos elektroenerģijas tirdzniecības pakalpojuma piedāvājumos ir jāiekļauj vismaz viens fiksētas elektroenerģijas cenas līguma piedāvājums mājsaimniecībām un mazajiem un vidējiem uzņēmumiem, kas neparedz maksu par līguma pirmstermiņa izbeigšanu. Tāpat kā ETL 32.</w:t>
      </w:r>
      <w:r w:rsidR="00000000" w:rsidRPr="00000000" w:rsidDel="00000000">
        <w:rPr>
          <w:vertAlign w:val="superscript"/>
          <w:rtl w:val="0"/>
        </w:rPr>
        <w:t xml:space="preserve">3</w:t>
      </w:r>
      <w:r w:rsidR="00000000" w:rsidRPr="00000000" w:rsidDel="00000000">
        <w:rPr>
          <w:rtl w:val="0"/>
        </w:rPr>
        <w:t xml:space="preserve"> panta otrajā daļā paredzētā fiksētas elektroenerģijas cenas līguma piedāvājuma gadījumā, arī šī piedāvājuma minimālais līguma darbības termiņš tiek noteikts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tirgotājs vienpusēji negroza fiksētas elektroenerģijas cenas līgumus un neizbeidz šādus līgumus pirms to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aizliegums elektroenerģijas tirgotājiem izbeigt elektroenerģijas tirdzniecības līgumu pirms tā termiņa beigām ir skatāms atsevišķi no tirgotāja tiesībām pieprasīt sistēmas operatoram uz laiku atslēgt lietotāja elektroietaises situācijā, kad lietotājs nenorēķinās par saņemtajiem pakalpojumiem. Šādas tiesības saskaņā ar MK noteikumu Nr. 635 72. un 73. punktu tirgotājam saglabāsies arī turpmāk. Pārtraucot elektroapgādi MK noteikumu Nr. 635 72. un 73. punktā minētajos gadījumos, elektroenerģijas tirdzniecības līgums netiek izbeigts, un elektroapgāde lietotājam pēc saistību nokārtošanas saskaņā ar MK noteikumu Nr. 635 74. punktu tiek atjaunota tā paša līguma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Pārvades sistēmas operatora tiesības pieprasīt datus no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pārvades sistēmas operatoram noteikto pienākumu organizēt elektroenerģijas balansēšanas tirgu, nepieciešami precizējumi ETL 37.</w:t>
      </w:r>
      <w:r w:rsidR="00000000" w:rsidRPr="00000000" w:rsidDel="00000000">
        <w:rPr>
          <w:vertAlign w:val="superscript"/>
          <w:rtl w:val="0"/>
        </w:rPr>
        <w:t xml:space="preserve">5</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2011. gada 25. oktobra regulas Nr. 1227/2011 par enerģijas vairumtirgus integritāti un pārredzamību un tās grozījumiem 2024. gada 11. aprīļa regulas Nr. 2024/1106 (turpmāk vienoti – REMIT) 15. pantu ikvienai personai, kas profesionāli veic darījumus (</w:t>
      </w:r>
      <w:r w:rsidR="00000000" w:rsidRPr="00000000" w:rsidDel="00000000">
        <w:rPr>
          <w:i w:val="1"/>
          <w:rtl w:val="0"/>
        </w:rPr>
        <w:t xml:space="preserve">Persons professionally arranging transactions</w:t>
      </w:r>
      <w:r w:rsidR="00000000" w:rsidRPr="00000000" w:rsidDel="00000000">
        <w:rPr>
          <w:rtl w:val="0"/>
        </w:rPr>
        <w:t xml:space="preserve">, turpmāk – PPAT) ar vairumtirdzniecības energoproduktiem, ir pienākums nekavējoties brīdināt valsts regulatīvo iestādi, ja minētajai personai ir pamatots iemesls uzskatīt, ka ar kādu darījumu varētu tikt pārkāpts aizliegums darījumos ļaunprātīgi izmantot iekšējo informāciju (REMIT 3. pants), pienākums publiskot iekšējo informāciju (REMIT 4.pants) vai tirgus manipulāciju aizliegumu (REMIT 5. pants), un šī pienākuma izpildei nepieciešams ieviest un uzturēt efektīvus pasākumus un procedūras, lai konstatētu šādus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(turpmāk – AST) kopā ar Igaunijas (Elering AS) un Lietuvas (LITGRID AB) pārvades sistēmu operatoriem (turpmāk – PSO) ir pievienojies MARI platformai</w:t>
      </w:r>
      <w:r w:rsidR="00000000" w:rsidRPr="00000000" w:rsidDel="00000000">
        <w:rPr>
          <w:vertAlign w:val="superscript"/>
          <w:rtl w:val="0"/>
        </w:rPr>
        <w:t xml:space="preserve">[1]</w:t>
      </w:r>
      <w:r w:rsidR="00000000" w:rsidRPr="00000000" w:rsidDel="00000000">
        <w:rPr>
          <w:rtl w:val="0"/>
        </w:rPr>
        <w:t xml:space="preserve"> un PICASSO platformai</w:t>
      </w:r>
      <w:r w:rsidR="00000000" w:rsidRPr="00000000" w:rsidDel="00000000">
        <w:rPr>
          <w:vertAlign w:val="superscript"/>
          <w:rtl w:val="0"/>
        </w:rPr>
        <w:t xml:space="preserve">[2]</w:t>
      </w:r>
      <w:r w:rsidR="00000000" w:rsidRPr="00000000" w:rsidDel="00000000">
        <w:rPr>
          <w:rtl w:val="0"/>
        </w:rPr>
        <w:t xml:space="preserve">. AST kopā ar pārējiem Baltijas PSO ir izveidojuši Baltijas jaudas balansēšanas tirgu (</w:t>
      </w:r>
      <w:r w:rsidR="00000000" w:rsidRPr="00000000" w:rsidDel="00000000">
        <w:rPr>
          <w:i w:val="1"/>
          <w:rtl w:val="0"/>
        </w:rPr>
        <w:t xml:space="preserve">Baltic Capacity Balancing Market</w:t>
      </w:r>
      <w:r w:rsidR="00000000" w:rsidRPr="00000000" w:rsidDel="00000000">
        <w:rPr>
          <w:rtl w:val="0"/>
        </w:rPr>
        <w:t xml:space="preserve">, turpmāk – BBCM). AST BBCM ietvarā mFRR</w:t>
      </w:r>
      <w:r w:rsidR="00000000" w:rsidRPr="00000000" w:rsidDel="00000000">
        <w:rPr>
          <w:vertAlign w:val="superscript"/>
          <w:rtl w:val="0"/>
        </w:rPr>
        <w:t xml:space="preserve">[3]</w:t>
      </w:r>
      <w:r w:rsidR="00000000" w:rsidRPr="00000000" w:rsidDel="00000000">
        <w:rPr>
          <w:rtl w:val="0"/>
        </w:rPr>
        <w:t xml:space="preserve"> enerģijas rezerves iepērk caur MARI platformu un aFRR</w:t>
      </w:r>
      <w:r w:rsidR="00000000" w:rsidRPr="00000000" w:rsidDel="00000000">
        <w:rPr>
          <w:vertAlign w:val="superscript"/>
          <w:rtl w:val="0"/>
        </w:rPr>
        <w:t xml:space="preserve">[4]</w:t>
      </w:r>
      <w:r w:rsidR="00000000" w:rsidRPr="00000000" w:rsidDel="00000000">
        <w:rPr>
          <w:rtl w:val="0"/>
        </w:rPr>
        <w:t xml:space="preserve"> enerģijas rezerves iepērk caur PICASSO platformu. AST FCR</w:t>
      </w:r>
      <w:r w:rsidR="00000000" w:rsidRPr="00000000" w:rsidDel="00000000">
        <w:rPr>
          <w:vertAlign w:val="superscript"/>
          <w:rtl w:val="0"/>
        </w:rPr>
        <w:t xml:space="preserve">[5]</w:t>
      </w:r>
      <w:r w:rsidR="00000000" w:rsidRPr="00000000" w:rsidDel="00000000">
        <w:rPr>
          <w:rtl w:val="0"/>
        </w:rPr>
        <w:t xml:space="preserve">, mFRR un aFRR jaudas rezerves iepērk caur BBCM platformu. Tādēļ AST atbilst REMIT 15. pantā noteiktajai PPAT statusam un, ievērojot REMIT noteiktās prasības, AST ir pienākums veikt BBCM tirgus uzraudzību saskaņā ar REMIT 15.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uzraudzības procesu AST veic atbilstoši Balansēšanas tirgus labās prakses vadlīnijām</w:t>
      </w:r>
      <w:r w:rsidR="00000000" w:rsidRPr="00000000" w:rsidDel="00000000">
        <w:rPr>
          <w:vertAlign w:val="superscript"/>
          <w:rtl w:val="0"/>
        </w:rPr>
        <w:t xml:space="preserve">[6]</w:t>
      </w:r>
      <w:r w:rsidR="00000000" w:rsidRPr="00000000" w:rsidDel="00000000">
        <w:rPr>
          <w:rtl w:val="0"/>
        </w:rPr>
        <w:t xml:space="preserve"> (turpmāk – Vadlīnijas), kuras ir izstrādātas sadarbībā ar Baltijas PSO un Nord Pool AS, balstoties uz Nord Pool AS tirgus uzraudzības pieredzi, kā arī Enerģētikas regulatoru sadarbības aģentūras (</w:t>
      </w:r>
      <w:r w:rsidR="00000000" w:rsidRPr="00000000" w:rsidDel="00000000">
        <w:rPr>
          <w:i w:val="1"/>
          <w:rtl w:val="0"/>
        </w:rPr>
        <w:t xml:space="preserve">Agency for the Cooperation of Energy Regulators</w:t>
      </w:r>
      <w:r w:rsidR="00000000" w:rsidRPr="00000000" w:rsidDel="00000000">
        <w:rPr>
          <w:rtl w:val="0"/>
        </w:rPr>
        <w:t xml:space="preserve">, turpmāk– ACER) vadlīnijām</w:t>
      </w:r>
      <w:r w:rsidR="00000000" w:rsidRPr="00000000" w:rsidDel="00000000">
        <w:rPr>
          <w:vertAlign w:val="superscript"/>
          <w:rtl w:val="0"/>
        </w:rPr>
        <w:t xml:space="preserve">[7]</w:t>
      </w:r>
      <w:r w:rsidR="00000000" w:rsidRPr="00000000" w:rsidDel="00000000">
        <w:rPr>
          <w:rtl w:val="0"/>
        </w:rPr>
        <w:t xml:space="preserve">, kuras tiek piemērotas visās ES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 minētajām Vadlīnijām un AST līdz šim īstenoto praksi, ja tirgus dalībnieka (turpmāk - TD) rīcība šķiet neizskaidrojama vai aizdomīga, tiek veikts sākotnējais izvērtējums. Tā laikā tirgus uzraudzības darbinieki var izmantot papildinformāciju no citām sistēmām (piemēram, tirdzniecības sistēmām, Eiropas elektroenerģijas pārvades sistēmu operatoru tīkla (ENTSO-E) Pārredzamības platformas vai citiem pamatdatu avotiem), kā arī veikt statistisko analīzi. Ja pēc sākotnējās analīzes TD rīcību nav iespējams izskaidrot un tā rada pamatotas aizdomas par iespējamu REMIT 3., 4., 5. panta vai citu tiesību aktu pārkāpumu, tiek veikta padziļināta izmeklēšana, kas var radīt nepieciešamību uzdot jautājumu TD un iegūt TD datus, ieskaitot operatīvos datus, tehniskos datus, stratēģiju u.c. veida informāciju, uz kuras balstās tirgus dalībnieka uzvedība tirgū. Tikai pēc padziļinātas izmeklēšanas, ja padziļinātās analīzes rezultātā tiek konstatēts, ka TD rīcība pārkāpj REMIT 3., 4., 5. pantu vai citu tiesību aktu, AST kā PPAT pieņem lēmumu sagatavot Ziņojumu par aizdomīgu darījumu vai rīkojumu (turpmāk - STOR), kurš tiek iesniegts Regulatoram un ACER.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AST tiesības pieprasīt no TD uzraudzības funkciju veikšanai nepieciešamo informāciju būtu līdzsvarojamas ar TD tiesībām neizpaust komercnoslēpumu, ņemot vērā komercnoslēpuma kā īpaši aizsargājamas informācijas statusu, kā arī nepieciešamību ievērot proporcionalitātes un samērīguma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ETL nepieciešams ietvert regulējumu, kas noteiktu pārvades sistēmas operatora tiesības, pildot tirgus uzraudzības funkcijas, pieprasīt un saņemt no tirgus dalībniekiem nepieciešamo informāciju, vienlaikus saglabājot tirgus dalībnieku tiesības šādu informāciju neizsniegt, ja tā satur komercnoslēpumu. Šādā gadījumā pārvades sistēmas operatoram ir tiesības par to ziņot Regulatoram. Papildus tam ETL nepieciešams noteikt pārvades sistēmas operatora tiesības nepieciešamības gadījumā nodot tirgus dalībnieka sniegto informāciju Regulatoram un ACER par iespējamo pārkāpumu, jo bez šādām likumā tieši noteiktām tiesībām AST nevar pieprasīt no tirgus dalībnieka visu nepieciešamo informāciju un nodot to regulatoram un ACER. Šādas informācijas pieprasīšanas tiesības ir noteiktas arī citiem tirgus uzraugiem. Piemēram, šādas tiesības ir noteiktas arī elektroenerģijas vairumtirdzniecības biržai "Nord Pool" attiecībā uz to organizēto tirgu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MARI platforma – Manuāli aktivizējamo rezervju iniciatīva (Manually Activated Reserves Initiative (MARI)) ir Eiropas balansēšanas platforma, kas izveidota, lai koordinētu un optimizētu manuāli aktivizējamo frekvences atjaunošanas rezervju (mFRR) apmaiņu starp PSO visā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PICASSO platforma – Starptautiskās koordinācijas platforma automātiskai frekvences atjaunošanai un stabilai sistēmas darbībai (Platform for the International Coordination of Automated Frequency Restoration and Stable System Operation (PICASSO)) platforma ir Eiropas balansēšanas platforma, kas izveidota, lai koordinētu un optimizētu automātiski aktivizējamo frekvences atjaunošanas rezervju (aFRR) apmaiņu starp pārvades sistēmu operatoriem (TSO) visā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mFRR - manuāli aktivizējamā frekvences atjaunošanas rezerves (manual Frequency Restoration 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aFRR - automātiski aktivizējamo frekvences atjaunošanas rezerves (automatic Frequency Restoration 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FCR jaudas rezerves (Frequency Containment Reserve) ir primārās balansēšanas rezerves, kas tiek aktivizētas automātiski un nekavējoties, kad elektroenerģijas sistēmas frekvence novirzās no nominālās vērtības (parasti 50 Hz).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Balansēšanas tirgus labās prakses vadlīnijas, pieejams tīmekļvietnē: Atskaite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ACER Guidance on REMIT application 6.1st Edition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ETL 37.</w:t>
      </w:r>
      <w:r w:rsidR="00000000" w:rsidRPr="00000000" w:rsidDel="00000000">
        <w:rPr>
          <w:vertAlign w:val="superscript"/>
          <w:rtl w:val="0"/>
        </w:rPr>
        <w:t xml:space="preserve">5</w:t>
      </w:r>
      <w:r w:rsidR="00000000" w:rsidRPr="00000000" w:rsidDel="00000000">
        <w:rPr>
          <w:rtl w:val="0"/>
        </w:rPr>
        <w:t xml:space="preserve"> panta pirmā daļa, nosakot, ka tirgus dalībniekiem, veicot darbības elektroenerģijas vairumtirgū, ir pienākums uzraudzībai nepieciešamo informāciju sniegt ari pārvades sistēmas operatoram. Tiek arī noteiktas tiesības pārvades sistēmas operatoram, pildot tam noteiktās funkcijas, pieprasīt un saņemt no tirgus dalībniekiem nepieciešamo informāciju un nepieciešamības gadījumā nodot to regulatoram un Energoregulatoru sadarbības aģentūrai. Vienlaikus tiek paredzēts, ka, ja minētā informācija satur komercnoslēpumu, tirgus dalībniekam ir tiesības to neizsniegt.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kopīgošanas nodrošināšanā iesaistīto pušu nediskriminēšana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ietvertās direktīvas Nr. 2019/944 15.a panta 4. punkta pirmās daļas f) apakšpunktā noteikts dalībvalstu pienākums nodrošināt, ka aktīvie lietotāji, kas piedalās enerģijas kopīgošanā, nav pakļauti netaisnīgai un diskriminējošai attieksmei no tirgus dalībnieku vai to balansatbildīgo pušu puses. Praksē jau šobrīd pret elektroenerģijas kopīgotājiem tiek ievērota vienlīdzīga attieksme, tomēr nepieciešams minēto principu skaidri noteikt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tiek papildināts ar jaunu 37.</w:t>
      </w:r>
      <w:r w:rsidR="00000000" w:rsidRPr="00000000" w:rsidDel="00000000">
        <w:rPr>
          <w:vertAlign w:val="superscript"/>
          <w:rtl w:val="0"/>
        </w:rPr>
        <w:t xml:space="preserve">8</w:t>
      </w:r>
      <w:r w:rsidR="00000000" w:rsidRPr="00000000" w:rsidDel="00000000">
        <w:rPr>
          <w:rtl w:val="0"/>
        </w:rPr>
        <w:t xml:space="preserve"> panta daļu nosakot, ka tirgus dalībnieki un balansatbildīgās puses sadarbojas ar elektroenerģijas kopīgošanas nodrošinātājiem nediskriminējošā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Terminu "elektroenerģijas tirdzniecība", "elektroenerģijas pārvade", "elektroenerģijas sadale", "sistēmas pakalpojums"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27. martā Saeima pieņēma grozījumus ETL, ar kuriem tika precizētas vairākas likuma 1. panta otrajā daļā ietvertās definīcijas. Cita starpā terminu "elektroenerģijas tirdzniecība", "elektroenerģijas pārvade", "elektroenerģijas sadale" un "sistēmas pakalpojums" skaidrojumos jēdziens "enerģijas lietotājs" tika aizstāts ar jēdzienu "galalietotājs". Tomēr, ņemot vērā, ka jēdziena "enerģijas lietotājs" tvērums ir plašāks, jo aptver gan elektroenerģijas galalietotājus, gan arī, piemēram, elektroenerģijas tirgotājus un elektroenerģijas uzkrātuves operatorus (gadījumos, kad elektroenerģijas uzkrātuves operators uzkrāto elektroenerģiju izmanto nodošanai elektroenerģijas sistēmā), piemērojot minētos terminus kopsakarā ar citām elektroenerģijas tirgu regulējošām tiesību normām, secināts, ka termini "elektroenerģijas tirdzniecība", "elektroenerģijas pārvade", "elektroenerģijas sadale" un "sistēmas pakalpojums" būtu attiecināmi uz visiem elektroenerģijas lietotājiem, ne tikai galalietotājiem.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grozītas terminu "elektroenerģijas tirdzniecība", "elektroenerģijas pārvade", "elektroenerģijas sadale" un "sistēmas pakalpojums" definīcijas, attiecinot tās uz visiem elektroenerģijas lietotājiem.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Elastības vajadzību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regulas (ES) 2019/943 par elektroenerģijas iekšējo tirgu (turpmāk – Regula Nr. 2019/943) 19.e panta 1.punkts noteic, ka ne vēlāk kā vienu gadu pēc tam, kad ACER ir apstiprinājusi metodiku, ievērojot 6. punktu, un pēc tam reizi divos gados regulatīvā iestāde vai cita dalībvalsts izraudzīta iestāde vai struktūra pieņem ziņojumu par aplēstajām elastības vajadzībām vismaz turpmāko 5–10 gadu laikposmam valsts līmenī, ņemot vērā vajadzību izmaksu ziņā efektīvi panākt piegādes drošību un uzticamību un dekarbonizēt elektroenerģijas sistēmu, kā arī ņemot vērā variablu atjaunīgo energoresursu un dažādu nozaru integrāciju, kā arī elektroenerģijas tirgus savstarpēji savienoto raksturu, tostarp starpsavienojumu mērķrādītājus un pārrobežu elastības potenciālo pieejamību. Ja pirmajā daļā minētā ziņojuma pieņemšanas nolūkā dalībvalsts ir izraudzījusies pārvades sistēmas operatoru vai citu struktūru, ziņojumu apstiprina vai groza regulatīvā iestāde. Pieņemot lēmumu, ka Latvijā elastības vajadzību novērtējumu sagatavos elektroenerģijas pārvades sistēmas operators, to nepieciešams nostiprināt normatīvajā regulējumā kaut arī Regulas Nr. 2019/943 prasības ir tieši piemērojamas.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noteikts, ka ziņojumu par aplēstajām elastības vajadzībām vai priekšlikumus ziņojuma grozījumiem sagatavo pārvades sistēmas operators un iesniedz to regulatoram apstiprināšanai.  Pārvades sistēmas operatoram nepieciešamos datus ziņojuma par aplēstajām elastības vajadzībām sagatavošanai nodrošina arī lielākais sadales sistēmas operators un elektroenerģijas sistēmas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ziņojumā jāvērtē dažādi elastības vajadzību veidi, vismaz sezonālā, dienas un stundas griezumā, lai elektroenerģijas sistēmā integrētu no atjaunīgajiem energoresursiem ražotu elektroenerģiju, jāapsver nefosilas elastības resursu potenciālu, piemēram, pieprasījumreakcijas un enerģijas uzkrāšanas, tostarp agregēšanas un starpsavienojuma, potenciāls, lai apmierinātu elastības vajadzības gan pārvades, gan sadales līmenī, jāizvērtē šķēršļus elastībai tirgū un jāierosina iespējamus uzlabojumus tirgos un sistēmas darbības pakalpojumos vai produktos, kā arī jāizvērtē elektroenerģijas pārvades un sadales tīklu digitalizācijas devums, pārvades sistēmas operators  ir uzskatāms par piemērotāko elastības vajadzību ziņojuma sagatavotāju nekā regulators, jo tas ir elektroenerģijas sistēmas tehniskais pārvaldītājs ar tiešu piekļuvi detalizētiem operatīvajiem datiem un modelēšanas rīkiem. Pārvades sistēmas operators atbilstoši enerģētikas nozares regulējumam ikdienā plāno un vada elektroenerģijas sistēmas darbību, tādēļ tam ir vispilnīgākā informācija par tīkla noslodzi, elastības resursiem, jaudas ierobežojumiem un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regulators nodrošina neatkarīgu uzraudzību un lēmumu pieņemšanu, tādēļ tā loma ir atbilstoši regulas (EU) 2019/943 prasībām izvērtēt, apstiprināt ziņojumu vai nepieciešamības gadījumā izvērtēt pārvades sistēma operatora sagatavotos ziņojuma grozījumu priekšlikumus un apstiprināt tos. Šāds funkciju sadalījums nodrošina tehniski kvalitatīvu elastības  analīzi un vienlaikus garantē neatkarīgu pārbaudi un objektivitāti.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lietotāji (elektroenerģijas ražotāji, kas ražo elektroenerģiju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papildinātas tiesību normas, kas nosaka aktīvā lietotāja tiesības slēgt līgumu ar enerģijas kopīgošanas organizatoru vai citu trešo personu par enerģijas kopīgošanas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tiesību normas, kas saistītas ar fiksētas cenas elektroenerģijas tirdzniecības līgumiem un maksu par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 un mazo un vidējo uzņēmumu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Elektrotransportlīdzekļu uzlādes pakalpojumu nodrošinātāji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uzkrātuves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pienākums elektroenerģijas tirgotājiem ieviest pasākumu kopumu elektroenerģijas tirdzniecības līgumu risku vadībai. Tiek noteiktas papildu prasības elektrotransportlīdzekļu uzlādes punktu funkcionalitātei. Likumprojekts skar nosacījumus pārvades sistēmas operatora tiesībām piekļūt datiem par tirgus dalībniekiem. Papildinātas normas, kas skar aktīvo lietotāju tiesības slēgt līgumu ar enerģijas kopīgošanas organizatoru vai citu trešo personu par enerģijas kopīgošanas organizēšanu. Papildināts tvērums informācijai par brīvajām sistēmas jaudām, kas sadales sistēmas operatoram jāpublicē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tiesību normas, kas saistītas ar fiksētas cenas elektroenerģijas tirdzniecības līgumiem un maksu par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Paplašinātas elektroenerģijas ražotāju un elektroenerģijas uzkrātuvju operatoru iespējas ieviest projektus lielākās teritorijās, saņemt atļaujas uz pārrobežu iekārtām un veikt šādu iekārtu saražotās elektroenerģijas daudzuma uzskaiti un saņemt izcelsmes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 un mazo un vidējo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Lielu atjaunīgās elektroenerģijas ražošanas parku ieviešanas rezultātā palielināsies saražotās elektroenerģijas apjoms, kas palielinās iekšzemes kopproduktu, veicinās konkurenci tirgū un sagaidāma elektroenerģijas cenas lejupslīde.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kopīgošanas regulējuma pilnveide veicinās elektroenerģijas galalietotāju un aktīvo lietotāju interesi veidot energokopienas, līdz ar to sekmējot vietēji saražotas atjaunīgās enerģijas izmantošanu elektroenerģijas gala patēriņā. Tas savukārt mazinās valsts atkarību no importētiem fosilajiem energoresursiem un veicinās enerģētisko neatkarību.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darbības pilnveidošana kopumā būs ar vispārēju pozitīvu ietekmi uz nozaru konkurētspēju. Latvijas elektroenerģijas sistēmai pieslēgto lieljaudas elektroenerģijas ražošanas iekārtu projekti sekmēs valsts elektroenerģijas tirgus attīstību, veicinot enerģētikas nozares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 un mazo un vidējo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darbības pilnveidošana kopumā būs ar vispārēju pozitīvu ietekmi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 un radot pozitīvu ietekmi uz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 un mazo un vidējo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ražotāju konkurences iespējas stimulēs tas, ka teritorija, uz kuru var izvietot elektroenerģijas ražošanas iekārtas, nebūs ierobežota ar valsts robežu. Tādējādi Latvijas elektroenerģijas sistēmai varēs pieslēgties lielāks elektroenerģijas ražotāju skaits, kas konkurences apstākļos lietotājiem nodrošinās pievilcīgākas elektroenerģijas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tirgotājiem noteiktais pienākums ietvert savos elektroenerģijas tirdzniecības pakalpojuma piedāvājumos vismaz vienu fiksētas elektroenerģijas cenas līguma piedāvājumu mājsaimniecībām un mazajiem un vidējiem uzņēmumiem, kas neparedz maksu par līguma pirmstermiņa izbeigšanu, paplašinās minētajām elektroenerģijas galalietotāju kategorijām pieejamo tirdzniecības līgumu klāstu, tādējādi veicinot konkurenci elektroenerģijas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normu īstenošana tiks nodrošināta to izpildē iesaistīto institūciju esošo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7. novembra noteikumi Nr. 635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pilnvarojumu Ministru kabinetam noteikt pienākumus, kurus aktīvais lietotājs var uzdot enerģijas kopīgošanas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 2024/1711 ietvertais direktīvas Nr. 2019/944 15.a pants paredz pienākumu klāstu, kuru veikšanu aktīvais lietotājs var uzdot elektroenerģijas kopīgošanas organizatoram. Pārņemot minēto direktīvas normu, attiecīgas aktīvā lietotāja tiesības būtu jāparedz arī Latvijas tiesību aktos. Tā kā minētie pienākumi galvenokārt ir organizatoriski (piemēram, atjaunīgās enerģijas ražošanas vai uzkrāšanas iekārtas pārvaldīšana, uzstādīšana, ekspluatācija u.c.), turklāt laika gaitā var tikt papildināti, tie būtu jānosaka nevis ETL, bet tam pakārtotajos MK noteikumos Nr. 635.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(ES) 2024/1711, ar ko groza direktīvas (ES) 2018/2001 un (ES) 2019/944 attiecībā uz Savienības elektroenerģijas tirgus modeļa uzlabošanu.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uzlabot integrētā elektroenerģijas tirgus modeli, cita starpā lai novērstu nepamatoti augstas elektroenerģijas cenas. Regulējums skar tos ES elektroenerģijas tirgus aspektus, kurus visefektīvāk ir risināt ar ES līmeņa regulējumu. Direktīvas transponēšanas termiņš ir 2025. gada 17.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 (ES) 2019/944 par kopīgiem noteikumiem attiecībā uz elektroenerģijas iekšējo tirgu un ar ko groza direktīvu (ES) 2012/27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nacionālajos tiesību aktos direktīvā Nr. 2019/944 paredzēto regulējumu, kas nosaka termiņu, kādā sistēmas operatoram jānodrošina elektroenerģijas tirgotāja maiņa, kā arī Regulatoram veikt viedo elektroenerģijas sistēmu, lai veicinātu energoefektivitāti un no atjaunīgiem energoresursiem iegūtas elektroenerģijas integrēšanu, attīstības uzraudzību un novērtēšanu.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02018L2001-20240716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(ES) 2018/2001 par no atjaunojamajiem energoresursiem iegūtas enerģijas izmantošanas veicināšanu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noteic dalībvalstu tiesības sadarboties visu veidu kopprojektos attiecībā uz elektroenerģijas ražošanu no atjaunojamajiem energoresursiem. Šādā sadarbībā drīkst piedalīties privātuzņēmēji.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32023L2413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2023/2413, ar ko attiecībā uz atjaunīgo energoresursu enerģijas izmantošanas veicināšanu groza Direktīvu (ES) 2018/2001, Regulu (ES) 2018/1999 un Direktīvu 98/70/EK un atceļ Padomes Direktīvu (ES) 2015/652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noteic dalībvalstu pienākumu lēmumu, kas pieņemti atļauju piešķiršanas procedūru rezultātā, publiskošanai.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32019R0943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2019/943 par elektroenerģijas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noteic pamatprincipus labi funkcionējošiem, integrētiem elektroenerģijas tirgiem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(ES) 2024/1711, ar ko groza direktīvas (ES) 2018/2001 un (ES) 2019/944 attiecībā uz Savienības elektroenerģijas tirgus modeļa uzlabošanu.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punktā ietvertā direktīvas Nr. 2019/944 11.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pantā ietvertā ETL 32.</w:t>
            </w:r>
            <w:r w:rsidR="00000000" w:rsidRPr="00000000" w:rsidDel="00000000">
              <w:rPr>
                <w:sz w:val="24"/>
                <w:vertAlign w:val="superscript"/>
                <w:rtl w:val="0"/>
              </w:rPr>
              <w:t xml:space="preserve">3</w:t>
            </w:r>
            <w:r w:rsidR="00000000" w:rsidRPr="00000000" w:rsidDel="00000000">
              <w:rPr>
                <w:sz w:val="24"/>
                <w:rtl w:val="0"/>
              </w:rPr>
              <w:t xml:space="preserve"> 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punktā ietvertais direktīvas Nr. 2019/944 15.a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pantā ietvertā ETL 37.</w:t>
            </w:r>
            <w:r w:rsidR="00000000" w:rsidRPr="00000000" w:rsidDel="00000000">
              <w:rPr>
                <w:sz w:val="24"/>
                <w:vertAlign w:val="superscript"/>
                <w:rtl w:val="0"/>
              </w:rPr>
              <w:t xml:space="preserve">6</w:t>
            </w:r>
            <w:r w:rsidR="00000000" w:rsidRPr="00000000" w:rsidDel="00000000">
              <w:rPr>
                <w:sz w:val="24"/>
                <w:rtl w:val="0"/>
              </w:rPr>
              <w:t xml:space="preserve"> panta septītā, 7.</w:t>
            </w:r>
            <w:r w:rsidR="00000000" w:rsidRPr="00000000" w:rsidDel="00000000">
              <w:rPr>
                <w:sz w:val="24"/>
                <w:vertAlign w:val="superscript"/>
                <w:rtl w:val="0"/>
              </w:rPr>
              <w:t xml:space="preserve">1</w:t>
            </w:r>
            <w:r w:rsidR="00000000" w:rsidRPr="00000000" w:rsidDel="00000000">
              <w:rPr>
                <w:sz w:val="24"/>
                <w:rtl w:val="0"/>
              </w:rPr>
              <w:t xml:space="preserve"> un viedpadsmitā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ietverti vispārēji enerģijas koplietošanas organizatora darbības principi. Detalizēti nosacījumi, kas izriet no direktīvas, tiks noteikti ETL pakārtotajos MK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punktā ietvertā direktīvas Nr. 2019/944 15.a panta 4. punkta pirmās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pantā  ietvertā ETL 37.</w:t>
            </w:r>
            <w:r w:rsidR="00000000" w:rsidRPr="00000000" w:rsidDel="00000000">
              <w:rPr>
                <w:sz w:val="24"/>
                <w:vertAlign w:val="superscript"/>
                <w:rtl w:val="0"/>
              </w:rPr>
              <w:t xml:space="preserve">8</w:t>
            </w:r>
            <w:r w:rsidR="00000000" w:rsidRPr="00000000" w:rsidDel="00000000">
              <w:rPr>
                <w:sz w:val="24"/>
                <w:rtl w:val="0"/>
              </w:rPr>
              <w:t xml:space="preserve"> panta 3.</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pantā ietvertā ETL 32.</w:t>
            </w:r>
            <w:r w:rsidR="00000000" w:rsidRPr="00000000" w:rsidDel="00000000">
              <w:rPr>
                <w:sz w:val="24"/>
                <w:vertAlign w:val="superscript"/>
                <w:rtl w:val="0"/>
              </w:rPr>
              <w:t xml:space="preserve">4 </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pantā ietvertā ETL 32.</w:t>
            </w:r>
            <w:r w:rsidR="00000000" w:rsidRPr="00000000" w:rsidDel="00000000">
              <w:rPr>
                <w:sz w:val="24"/>
                <w:vertAlign w:val="superscript"/>
                <w:rtl w:val="0"/>
              </w:rPr>
              <w:t xml:space="preserve">4</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 punktā ietvertais direktīvas Nr. 2019/944 18.a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pantā ietvertā ETL 32.</w:t>
            </w:r>
            <w:r w:rsidR="00000000" w:rsidRPr="00000000" w:rsidDel="00000000">
              <w:rPr>
                <w:sz w:val="24"/>
                <w:vertAlign w:val="superscript"/>
                <w:rtl w:val="0"/>
              </w:rPr>
              <w:t xml:space="preserve">4</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10. punktā ietvertā direktīvas Nr. 2019/944 31. panta 3. punkta trešās daļas pirmspēdējais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pantā ietvertā ETL 9.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punktā ietvertais direktīvas Nr. 2019/944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pantā ietvertā ETL 20.</w:t>
            </w:r>
            <w:r w:rsidR="00000000" w:rsidRPr="00000000" w:rsidDel="00000000">
              <w:rPr>
                <w:sz w:val="24"/>
                <w:vertAlign w:val="superscript"/>
                <w:rtl w:val="0"/>
              </w:rPr>
              <w:t xml:space="preserve">4</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punktā ietvertā direktīvas Nr. 2019/944 66. panta 6.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22. pantā ietvertais ETL pārejas noteikumu 103. un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2024/1711 2. panta 4. punktā ietvertā direktīvas Nr. 2019/944 11. panta 1. punkta pirmā daļa jau ir pārņemta ar spēkā esošo ETL 32.</w:t>
            </w:r>
            <w:r w:rsidR="00000000" w:rsidRPr="00000000" w:rsidDel="00000000">
              <w:rPr>
                <w:sz w:val="24"/>
                <w:vertAlign w:val="superscript"/>
                <w:rtl w:val="0"/>
              </w:rPr>
              <w:t xml:space="preserve">3</w:t>
            </w:r>
            <w:r w:rsidR="00000000" w:rsidRPr="00000000" w:rsidDel="00000000">
              <w:rPr>
                <w:sz w:val="24"/>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2024/1711 2. panta 4. punktā ietvertajā direktīvas Nr. 2019/944 11. panta 1. punkta otrajā daļā paredzētā atkāpe Latvijai nav nepieciešama, jo Latvijā esošais tirgotājs, kuram ir vismaz 200 000 lietotāju, nodrošina gan dinamiskās cenas līgumus, gan fiksētas cenas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2024/1711 2. panta 6. punktā ietvertais direktīvas Nr. 2019/944 18.a panta 2. punkts tiks pārņemts ar grozījumiem MK noteikumu Nr. 635 (25-TA-649) 26.</w:t>
            </w:r>
            <w:r w:rsidR="00000000" w:rsidRPr="00000000" w:rsidDel="00000000">
              <w:rPr>
                <w:sz w:val="24"/>
                <w:vertAlign w:val="superscript"/>
                <w:rtl w:val="0"/>
              </w:rPr>
              <w:t xml:space="preserve">1</w:t>
            </w:r>
            <w:r w:rsidR="00000000" w:rsidRPr="00000000" w:rsidDel="00000000">
              <w:rPr>
                <w:sz w:val="24"/>
                <w:rtl w:val="0"/>
              </w:rPr>
              <w:t xml:space="preserve">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direktīva (ES) 2019/944 par kopīgiem noteikumiem attiecībā uz elektroenerģijas iekšējo tirgu un ar ko groza direktīvu (ES) 2012/27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pantā paredzētā Elektroenerģijas tirgus likuma 35.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panta 1. punkta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pantā paredzētā Elektroenerģijas tirgus likuma 5. panta astotā un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Tiek pārņemta pilnībā, ietverot nacionālajā regulējumā regulatīvās iestādes pienākumu noteikt viedās elektroenerģijas sistēmas attīstības vērtējuma rādītājus, uzraudzīt un izvērtēt sistēmas operatoru īstenoto viedās elektroenerģijas sistēmas attīstību, tajā skaitā publicēt izvērtējuma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2019/944 12. panta 2. punktā noteikts - dalībvalstis nodrošina, ka vismaz no mājsaimniecības lietotājiem un mazajiem uzņēmumiem neiekasē nekādu maksu saistībā ar maiņu. Tā kā Latvijā nav nepieciešamības šādu normu attiecināt tikai uz direktīvā minētajām lietotāju kategorijām, pārņemamā tiesību norma tiek attiecināta uz visiem elektroenerģijas lietotājiem.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(ES) 2018/2001 par no atjaunojamajiem energoresursiem iegūtas enerģijas izmantošanas veicināšanu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pantā paredzētā Elektroenerģijas tirgus likuma 22. panta 2.</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Tiek pārņemta pilnībā, nodrošinot nacionālajā regulējumā dalībvalstu kopprojektu īstenošanas tiesisko regulējumu elektroenerģijas ražošanai  no atjaunojamajiem energoresursiem.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Katrā dalībvalstī ir nacionālie noteikumi par ietekmes uz vidi novērtējuma veikšanas nepieciešamību, līdz ar to, lai visu valstu normatīvais regulējums tiktu ievērots jau atļaujas izsniegšanas procesā, tiek paredzēts, ka elektroenerģijas ražotājs attiecīgajā dalībvalstī vēršas pēc atļaujas elektroenerģijas pārrobežu iekārtu ieviešanai, apliecinot savu atbilstību citas valsts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Šāda pārbaudes procesa mērķis ir noskaidrot, vai kāds no atjaunojamās enerģijas projektiem, ņemot vērā to ģeogrāfisko teritoriju vides jutīgumu, kurā tie atrodas, ļoti iespējams, var radīt būtisku neparedzētu nelabvēlīgu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 par izsniegtajām atļaujām, ko izsniedz attiecīgā kompetentā iestāde un kas ir spēkā esošas uz likuma spēkā stāšanās dienu, tiks padarīta publiski pieejama, norādot atļaujas saņēmēju,  elektroenerģijas ražošanas tehnoloģijas veidu, plānoto atrašanās vietu, jaudu, vairāku elektroenerģijas ražošanas veidu iekārtu ieviešanas gadījumā – iekārtu jaudas proporciju, atļaujas statusu.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2023/2413, ar ko attiecībā uz atjaunīgo energoresursu enerģijas izmantošanas veicināšanu groza Direktīvu (ES) 2018/2001, Regulu (ES) 2018/1999 un Direktīvu 98/70/EK un atceļ Padomes Direktīvu (ES) 2015/652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7. punktā ietvertais direktīvas (ES) 2018/2001 16.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 pantā ietvertā Elektroenerģijas tirgus likuma 22.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Tiek pārņemta pilnībā, nodrošinot visu informāciju par  publisku pieejamību informācijai par izsniegtajām atļaujām.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2019/943 par elektroenerģijas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pantā ietvertais Elektroenerģijas tirgus likuma 9.</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Nodrošina Eiropas Parlamenta un Padomes 2019. gada 5. jūnija regulas (ES) 2019/943 par elektroenerģijas iekšējo tirgu 9.e pantā noteikto prasību īstenošanas iespēju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2019/943 19.e pants neparedz konkrētu pienākumu noteikt informācijas sniegšanas kārtību sadales sistēmas operatoriem un citiem elektroenerģijas sistēmas dalībniekiem, taču šādu normu  noteikšana ir nepieciešama, lai pārvades sistēmas operators varētu pilnvērtīgi izpildīt regulā noteikto pienākumu sagatavot elastības vajadzību novērtējumu.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https://vktap.mk.gov.lv/public_participations/public_discussions/4c352f03-4b7a-4b2e-9199-87b3634e3734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nodrošināta no 2025. gada 1. aprīļa līdz 15. aprīlim, kuras laikā tika saņemti divi viedokļi par likumprojektu. Izteiktie viedokļi tika izvērtēti, precizējot likumprojektu. Viens viedoklis netika ņemts vērā. Publiskās apspriešanas rezultātus skatīt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aģentūras kompetences no 2025. gada 1. oktobra tiek nodotas Valsts vides dienestam.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pilnveidots elektroenerģijas tirgus darbības regulējums, veicinot turpmāku atjaunīgo energoresursu izmantošanu un īpatsvara palielināšanos kopējā enerģijas bilancē.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25-TA-409</w:t>
    </w:r>
    <w:r>
      <w:br/>
    </w:r>
    <w:r w:rsidR="00000000" w:rsidRPr="00000000" w:rsidDel="00000000">
      <w:rPr>
        <w:rtl w:val="0"/>
      </w:rPr>
      <w:t xml:space="preserve">Izdrukāts 25.08.2026. 08.50 - 10.0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25-TA-409</w:t>
    </w:r>
    <w:r>
      <w:br/>
    </w:r>
    <w:r w:rsidR="00000000" w:rsidRPr="00000000" w:rsidDel="00000000">
      <w:rPr>
        <w:rtl w:val="0"/>
      </w:rPr>
      <w:t xml:space="preserve">Izdrukāts 25.08.2026. 08.50 - 10.0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anotācija_(ex_ante)_25-TA-409.docx</dc:title>
</cp:coreProperties>
</file>

<file path=docProps/custom.xml><?xml version="1.0" encoding="utf-8"?>
<Properties xmlns="http://schemas.openxmlformats.org/officeDocument/2006/custom-properties" xmlns:vt="http://schemas.openxmlformats.org/officeDocument/2006/docPropsVTypes"/>
</file>