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aprīļa noteikumos Nr. 199 "Noteikumi par dabasgāzes apriti un akcīzes nodokļa piemērošanas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2024.gada 4.decembrī pieņēma grozījumus likumā "Par akcīzes nodokli" (turpmāk - likums), kas stājās spēkā 2025.gada 1.janvārī. Minētie grozījumi tai skaitā paredz pārskatīt akcīzes nodokļa likmes un piemērošanas nosacījumus dabasgāzei, ko izmanto par degvielu vai kurināmo.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normas, precizējot atsauces uz likuma 15.</w:t>
      </w:r>
      <w:r w:rsidR="00000000" w:rsidRPr="00000000" w:rsidDel="00000000">
        <w:rPr>
          <w:vertAlign w:val="superscript"/>
          <w:rtl w:val="0"/>
        </w:rPr>
        <w:t xml:space="preserve">1</w:t>
      </w:r>
      <w:r w:rsidR="00000000" w:rsidRPr="00000000" w:rsidDel="00000000">
        <w:rPr>
          <w:rtl w:val="0"/>
        </w:rPr>
        <w:t xml:space="preserve"> pantu par akcīzes nodokļa piemērošanas nosacījumiem dabasgāzei, kuru izmanto par kurināmo dažādiem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2017. gada 4. aprīļa noteikumi Nr. 199 "Noteikumi par dabasgāzes apriti un akcīzes nodokļa piemērošanas kārtību" (turpmāk - MK noteikumi Nr. 199) nosaka kārtību, kādā piemēro likuma 15.</w:t>
      </w:r>
      <w:r w:rsidR="00000000" w:rsidRPr="00000000" w:rsidDel="00000000">
        <w:rPr>
          <w:vertAlign w:val="superscript"/>
          <w:rtl w:val="0"/>
        </w:rPr>
        <w:t xml:space="preserve">1</w:t>
      </w:r>
      <w:r w:rsidR="00000000" w:rsidRPr="00000000" w:rsidDel="00000000">
        <w:rPr>
          <w:rtl w:val="0"/>
        </w:rPr>
        <w:t xml:space="preserve"> panta pirmās daļas 3. punktā noteikto akcīzes nodokļa likmi.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likumā, ir veikti precizējumi likuma 15.</w:t>
      </w:r>
      <w:r w:rsidR="00000000" w:rsidRPr="00000000" w:rsidDel="00000000">
        <w:rPr>
          <w:vertAlign w:val="superscript"/>
          <w:rtl w:val="0"/>
        </w:rPr>
        <w:t xml:space="preserve">1</w:t>
      </w:r>
      <w:r w:rsidR="00000000" w:rsidRPr="00000000" w:rsidDel="00000000">
        <w:rPr>
          <w:rtl w:val="0"/>
        </w:rPr>
        <w:t xml:space="preserve"> panta daļu redakcijās, mainot atsauces uz konkrētām likuma 15.</w:t>
      </w:r>
      <w:r w:rsidR="00000000" w:rsidRPr="00000000" w:rsidDel="00000000">
        <w:rPr>
          <w:vertAlign w:val="superscript"/>
          <w:rtl w:val="0"/>
        </w:rPr>
        <w:t xml:space="preserve">1</w:t>
      </w:r>
      <w:r w:rsidR="00000000" w:rsidRPr="00000000" w:rsidDel="00000000">
        <w:rPr>
          <w:rtl w:val="0"/>
        </w:rPr>
        <w:t xml:space="preserve"> panta daļām un punktiem. Līdz ar to ir nepieciešami tehniski grozījumi arī MK noteikumos Nr. 199, lai salāgotu precīzi atsauces ar pieņemto grozījumu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atsauces MK noteikumos Nr.199, ņemot vērā grozījumus likumā, kas stājušies spēkā ar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Nr.199 1.7., 1.9. 1.10., 2.6., 62., 63., 70.</w:t>
      </w:r>
      <w:r w:rsidR="00000000" w:rsidRPr="00000000" w:rsidDel="00000000">
        <w:rPr>
          <w:vertAlign w:val="superscript"/>
          <w:rtl w:val="0"/>
        </w:rPr>
        <w:t xml:space="preserve">1</w:t>
      </w:r>
      <w:r w:rsidR="00000000" w:rsidRPr="00000000" w:rsidDel="00000000">
        <w:rPr>
          <w:rtl w:val="0"/>
        </w:rPr>
        <w:t xml:space="preserve">,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5</w:t>
      </w:r>
      <w:r w:rsidR="00000000" w:rsidRPr="00000000" w:rsidDel="00000000">
        <w:rPr>
          <w:rtl w:val="0"/>
        </w:rPr>
        <w:t xml:space="preserve">, 70.</w:t>
      </w:r>
      <w:r w:rsidR="00000000" w:rsidRPr="00000000" w:rsidDel="00000000">
        <w:rPr>
          <w:vertAlign w:val="superscript"/>
          <w:rtl w:val="0"/>
        </w:rPr>
        <w:t xml:space="preserve">6</w:t>
      </w:r>
      <w:r w:rsidR="00000000" w:rsidRPr="00000000" w:rsidDel="00000000">
        <w:rPr>
          <w:rtl w:val="0"/>
        </w:rPr>
        <w:t xml:space="preserve">, 70.</w:t>
      </w:r>
      <w:r w:rsidR="00000000" w:rsidRPr="00000000" w:rsidDel="00000000">
        <w:rPr>
          <w:vertAlign w:val="superscript"/>
          <w:rtl w:val="0"/>
        </w:rPr>
        <w:t xml:space="preserve">7</w:t>
      </w:r>
      <w:r w:rsidR="00000000" w:rsidRPr="00000000" w:rsidDel="00000000">
        <w:rPr>
          <w:rtl w:val="0"/>
        </w:rPr>
        <w:t xml:space="preserve">2., 70.</w:t>
      </w:r>
      <w:r w:rsidR="00000000" w:rsidRPr="00000000" w:rsidDel="00000000">
        <w:rPr>
          <w:vertAlign w:val="superscript"/>
          <w:rtl w:val="0"/>
        </w:rPr>
        <w:t xml:space="preserve">7</w:t>
      </w:r>
      <w:r w:rsidR="00000000" w:rsidRPr="00000000" w:rsidDel="00000000">
        <w:rPr>
          <w:rtl w:val="0"/>
        </w:rPr>
        <w:t xml:space="preserve">3.,70.</w:t>
      </w:r>
      <w:r w:rsidR="00000000" w:rsidRPr="00000000" w:rsidDel="00000000">
        <w:rPr>
          <w:vertAlign w:val="superscript"/>
          <w:rtl w:val="0"/>
        </w:rPr>
        <w:t xml:space="preserve">7</w:t>
      </w:r>
      <w:r w:rsidR="00000000" w:rsidRPr="00000000" w:rsidDel="00000000">
        <w:rPr>
          <w:rtl w:val="0"/>
        </w:rPr>
        <w:t xml:space="preserve">5., 70.</w:t>
      </w:r>
      <w:r w:rsidR="00000000" w:rsidRPr="00000000" w:rsidDel="00000000">
        <w:rPr>
          <w:vertAlign w:val="superscript"/>
          <w:rtl w:val="0"/>
        </w:rPr>
        <w:t xml:space="preserve">8</w:t>
      </w:r>
      <w:r w:rsidR="00000000" w:rsidRPr="00000000" w:rsidDel="00000000">
        <w:rPr>
          <w:rtl w:val="0"/>
        </w:rPr>
        <w:t xml:space="preserve">, 70.</w:t>
      </w:r>
      <w:r w:rsidR="00000000" w:rsidRPr="00000000" w:rsidDel="00000000">
        <w:rPr>
          <w:vertAlign w:val="superscript"/>
          <w:rtl w:val="0"/>
        </w:rPr>
        <w:t xml:space="preserve">9</w:t>
      </w:r>
      <w:r w:rsidR="00000000" w:rsidRPr="00000000" w:rsidDel="00000000">
        <w:rPr>
          <w:rtl w:val="0"/>
        </w:rPr>
        <w:t xml:space="preserve">, 70.</w:t>
      </w:r>
      <w:r w:rsidR="00000000" w:rsidRPr="00000000" w:rsidDel="00000000">
        <w:rPr>
          <w:vertAlign w:val="superscript"/>
          <w:rtl w:val="0"/>
        </w:rPr>
        <w:t xml:space="preserve">12</w:t>
      </w:r>
      <w:r w:rsidR="00000000" w:rsidRPr="00000000" w:rsidDel="00000000">
        <w:rPr>
          <w:rtl w:val="0"/>
        </w:rPr>
        <w:t xml:space="preserve">1., 70.</w:t>
      </w:r>
      <w:r w:rsidR="00000000" w:rsidRPr="00000000" w:rsidDel="00000000">
        <w:rPr>
          <w:vertAlign w:val="superscript"/>
          <w:rtl w:val="0"/>
        </w:rPr>
        <w:t xml:space="preserve">12</w:t>
      </w:r>
      <w:r w:rsidR="00000000" w:rsidRPr="00000000" w:rsidDel="00000000">
        <w:rPr>
          <w:rtl w:val="0"/>
        </w:rPr>
        <w:t xml:space="preserve">2., 70.</w:t>
      </w:r>
      <w:r w:rsidR="00000000" w:rsidRPr="00000000" w:rsidDel="00000000">
        <w:rPr>
          <w:vertAlign w:val="superscript"/>
          <w:rtl w:val="0"/>
        </w:rPr>
        <w:t xml:space="preserve">13</w:t>
      </w:r>
      <w:r w:rsidR="00000000" w:rsidRPr="00000000" w:rsidDel="00000000">
        <w:rPr>
          <w:rtl w:val="0"/>
        </w:rPr>
        <w:t xml:space="preserve">, 83.</w:t>
      </w:r>
      <w:r w:rsidR="00000000" w:rsidRPr="00000000" w:rsidDel="00000000">
        <w:rPr>
          <w:vertAlign w:val="superscript"/>
          <w:rtl w:val="0"/>
        </w:rPr>
        <w:t xml:space="preserve">1</w:t>
      </w:r>
      <w:r w:rsidR="00000000" w:rsidRPr="00000000" w:rsidDel="00000000">
        <w:rPr>
          <w:rtl w:val="0"/>
        </w:rPr>
        <w:t xml:space="preserve">, 84.</w:t>
      </w:r>
      <w:r w:rsidR="00000000" w:rsidRPr="00000000" w:rsidDel="00000000">
        <w:rPr>
          <w:vertAlign w:val="superscript"/>
          <w:rtl w:val="0"/>
        </w:rPr>
        <w:t xml:space="preserve">1</w:t>
      </w:r>
      <w:r w:rsidR="00000000" w:rsidRPr="00000000" w:rsidDel="00000000">
        <w:rPr>
          <w:rtl w:val="0"/>
        </w:rPr>
        <w:t xml:space="preserve"> apakšpunktos ir aizstāta atsauce uz likuma 15.</w:t>
      </w:r>
      <w:r w:rsidR="00000000" w:rsidRPr="00000000" w:rsidDel="00000000">
        <w:rPr>
          <w:vertAlign w:val="superscript"/>
          <w:rtl w:val="0"/>
        </w:rPr>
        <w:t xml:space="preserve">1</w:t>
      </w:r>
      <w:r w:rsidR="00000000" w:rsidRPr="00000000" w:rsidDel="00000000">
        <w:rPr>
          <w:rtl w:val="0"/>
        </w:rPr>
        <w:t xml:space="preserve"> panta pirmās daļas 3.punktu ar atsauci uz likuma 15.</w:t>
      </w:r>
      <w:r w:rsidR="00000000" w:rsidRPr="00000000" w:rsidDel="00000000">
        <w:rPr>
          <w:vertAlign w:val="superscript"/>
          <w:rtl w:val="0"/>
        </w:rPr>
        <w:t xml:space="preserve">1</w:t>
      </w:r>
      <w:r w:rsidR="00000000" w:rsidRPr="00000000" w:rsidDel="00000000">
        <w:rPr>
          <w:rtl w:val="0"/>
        </w:rPr>
        <w:t xml:space="preserve"> panta pirmās daļas 4.un 5.punktu. Precizējumi veikti ņemot vērā to, ka likuma 15.</w:t>
      </w:r>
      <w:r w:rsidR="00000000" w:rsidRPr="00000000" w:rsidDel="00000000">
        <w:rPr>
          <w:vertAlign w:val="superscript"/>
          <w:rtl w:val="0"/>
        </w:rPr>
        <w:t xml:space="preserve">1</w:t>
      </w:r>
      <w:r w:rsidR="00000000" w:rsidRPr="00000000" w:rsidDel="00000000">
        <w:rPr>
          <w:rtl w:val="0"/>
        </w:rPr>
        <w:t xml:space="preserve"> pantā ir mainīta struktūra un samazinātā akcīzes nodokļa likme, kura līdz 2024.gada 31.decembrim ir noteikta likuma 15.</w:t>
      </w:r>
      <w:r w:rsidR="00000000" w:rsidRPr="00000000" w:rsidDel="00000000">
        <w:rPr>
          <w:vertAlign w:val="superscript"/>
          <w:rtl w:val="0"/>
        </w:rPr>
        <w:t xml:space="preserve">1</w:t>
      </w:r>
      <w:r w:rsidR="00000000" w:rsidRPr="00000000" w:rsidDel="00000000">
        <w:rPr>
          <w:rtl w:val="0"/>
        </w:rPr>
        <w:t xml:space="preserve"> panta pirmās daļas 3.punktā, no 2025.gada 1.janvāra, tiks noteikta 15.</w:t>
      </w:r>
      <w:r w:rsidR="00000000" w:rsidRPr="00000000" w:rsidDel="00000000">
        <w:rPr>
          <w:vertAlign w:val="superscript"/>
          <w:rtl w:val="0"/>
        </w:rPr>
        <w:t xml:space="preserve">1</w:t>
      </w:r>
      <w:r w:rsidR="00000000" w:rsidRPr="00000000" w:rsidDel="00000000">
        <w:rPr>
          <w:rtl w:val="0"/>
        </w:rPr>
        <w:t xml:space="preserve"> panta pirmās daļas 4.punktā (dabasgāzei izmantošanai par kurināmo rūpnieciskās ražošanas procesiem) un 5.punktā (dabasgāzei izmantošanai par kurināmo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Nr.199 61.punkts ir svītrots, ņemot vērā, ka  tas dublēja likuma 15.</w:t>
      </w:r>
      <w:r w:rsidR="00000000" w:rsidRPr="00000000" w:rsidDel="00000000">
        <w:rPr>
          <w:vertAlign w:val="superscript"/>
          <w:rtl w:val="0"/>
        </w:rPr>
        <w:t xml:space="preserve">1</w:t>
      </w:r>
      <w:r w:rsidR="00000000" w:rsidRPr="00000000" w:rsidDel="00000000">
        <w:rPr>
          <w:rtl w:val="0"/>
        </w:rPr>
        <w:t xml:space="preserve"> panta pirmās daļas 5.punkta normas par  dabasgāzes kā kurināmā izmantošanu lauksaimniecībā noteiktajiem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15.</w:t>
      </w:r>
      <w:r w:rsidR="00000000" w:rsidRPr="00000000" w:rsidDel="00000000">
        <w:rPr>
          <w:vertAlign w:val="superscript"/>
          <w:rtl w:val="0"/>
        </w:rPr>
        <w:t xml:space="preserve">1</w:t>
      </w:r>
      <w:r w:rsidR="00000000" w:rsidRPr="00000000" w:rsidDel="00000000">
        <w:rPr>
          <w:rtl w:val="0"/>
        </w:rPr>
        <w:t xml:space="preserve"> panta pirmās daļas 3., un 4. un 5.punkta minētās likmes un dabasgāzes izmantošanas mērķus, MK noteikumu Nr.199 66., 68., 69., 74., 78., 78.</w:t>
      </w:r>
      <w:r w:rsidR="00000000" w:rsidRPr="00000000" w:rsidDel="00000000">
        <w:rPr>
          <w:vertAlign w:val="superscript"/>
          <w:rtl w:val="0"/>
        </w:rPr>
        <w:t xml:space="preserve">1</w:t>
      </w:r>
      <w:r w:rsidR="00000000" w:rsidRPr="00000000" w:rsidDel="00000000">
        <w:rPr>
          <w:rtl w:val="0"/>
        </w:rPr>
        <w:t xml:space="preserve">, 80., 83. un 84.punkts ir redakcionāli precizēti.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Nr.199 ir papildināti ar jaunu 64.</w:t>
      </w:r>
      <w:r w:rsidR="00000000" w:rsidRPr="00000000" w:rsidDel="00000000">
        <w:rPr>
          <w:vertAlign w:val="superscript"/>
          <w:rtl w:val="0"/>
        </w:rPr>
        <w:t xml:space="preserve">1</w:t>
      </w:r>
      <w:r w:rsidR="00000000" w:rsidRPr="00000000" w:rsidDel="00000000">
        <w:rPr>
          <w:rtl w:val="0"/>
        </w:rPr>
        <w:t xml:space="preserve">1. apakšpunktu, jo no 2025.gada 1.janvāra patērētās dabasgāzes apjoms ir jāuzskaita arī tādiem dabasgāzes galalietotājiem, kuri ir Eiropas Savienības emisiju kvotu tirdzniecības sistēmas iekārtu operatori un uz kuriem no 2025.gada 1.janvāra attieksies likuma 15.</w:t>
      </w:r>
      <w:r w:rsidR="00000000" w:rsidRPr="00000000" w:rsidDel="00000000">
        <w:rPr>
          <w:vertAlign w:val="superscript"/>
          <w:rtl w:val="0"/>
        </w:rPr>
        <w:t xml:space="preserve">1</w:t>
      </w:r>
      <w:r w:rsidR="00000000" w:rsidRPr="00000000" w:rsidDel="00000000">
        <w:rPr>
          <w:rtl w:val="0"/>
        </w:rPr>
        <w:t xml:space="preserve"> panta pirmās daļas 3.punktā noteiktā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Nr.199 ir precizēts 64.8. apakšpunkts, kā arī papildināts ar jaunu 64.9. apakšpunktu, ņemot vērā, ka no 2025.gada 1.janvāra dabasgāzei, kura tiek izmantota par kurināmo lauksaimniecības izejvielu pirmapstrādes tehnoloģisko iekārtu darbināšanai un tehnoloģiski nepieciešamā klimata nodrošināšanai lauksaimniecības izejvielu pirmapstrādes telpās, un dabasgāzei, kuru izmanto par kurināmo rūpnieciskās ražošanas un citos ar ražošanu saistītos procesos un tehnoloģiski nepieciešamā klimata nodrošināšanai rūpnieciskās ražošanas telpās, ir noteiktas atšķirīgas akcīzes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Nr.199 76. un 80.punktā ir aizstāta atsauce uz 15.</w:t>
      </w:r>
      <w:r w:rsidR="00000000" w:rsidRPr="00000000" w:rsidDel="00000000">
        <w:rPr>
          <w:vertAlign w:val="superscript"/>
          <w:rtl w:val="0"/>
        </w:rPr>
        <w:t xml:space="preserve">1</w:t>
      </w:r>
      <w:r w:rsidR="00000000" w:rsidRPr="00000000" w:rsidDel="00000000">
        <w:rPr>
          <w:rtl w:val="0"/>
        </w:rPr>
        <w:t xml:space="preserve"> panta pirmās daļas 1. punktu ar atsauci uz 15.</w:t>
      </w:r>
      <w:r w:rsidR="00000000" w:rsidRPr="00000000" w:rsidDel="00000000">
        <w:rPr>
          <w:vertAlign w:val="superscript"/>
          <w:rtl w:val="0"/>
        </w:rPr>
        <w:t xml:space="preserve">1</w:t>
      </w:r>
      <w:r w:rsidR="00000000" w:rsidRPr="00000000" w:rsidDel="00000000">
        <w:rPr>
          <w:rtl w:val="0"/>
        </w:rPr>
        <w:t xml:space="preserve"> panta pirmās daļas 2. punktu, jo šajā punktā ir noteikta atsauces nodokļa likme dabasgāzei, ko izmanto par kurināmo citi patērētāji un uz kuriem neattiecas samazinātās akcīzes nodokļa likmes izmantošana saskaņā ar 15.</w:t>
      </w:r>
      <w:r w:rsidR="00000000" w:rsidRPr="00000000" w:rsidDel="00000000">
        <w:rPr>
          <w:vertAlign w:val="superscript"/>
          <w:rtl w:val="0"/>
        </w:rPr>
        <w:t xml:space="preserve">1</w:t>
      </w:r>
      <w:r w:rsidR="00000000" w:rsidRPr="00000000" w:rsidDel="00000000">
        <w:rPr>
          <w:rtl w:val="0"/>
        </w:rPr>
        <w:t xml:space="preserve"> panta pirmās daļas 4. vai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Nr.199 5. pielikums ir izteikts jaunā redakcijā, jo minētajā pielikumā tiek aizstāta atsauce uz likuma 15.</w:t>
      </w:r>
      <w:r w:rsidR="00000000" w:rsidRPr="00000000" w:rsidDel="00000000">
        <w:rPr>
          <w:vertAlign w:val="superscript"/>
          <w:rtl w:val="0"/>
        </w:rPr>
        <w:t xml:space="preserve">1</w:t>
      </w:r>
      <w:r w:rsidR="00000000" w:rsidRPr="00000000" w:rsidDel="00000000">
        <w:rPr>
          <w:rtl w:val="0"/>
        </w:rPr>
        <w:t xml:space="preserve"> panta pirmās daļas 3.punktu ar atsauci uz likuma 15.</w:t>
      </w:r>
      <w:r w:rsidR="00000000" w:rsidRPr="00000000" w:rsidDel="00000000">
        <w:rPr>
          <w:vertAlign w:val="superscript"/>
          <w:rtl w:val="0"/>
        </w:rPr>
        <w:t xml:space="preserve">1</w:t>
      </w:r>
      <w:r w:rsidR="00000000" w:rsidRPr="00000000" w:rsidDel="00000000">
        <w:rPr>
          <w:rtl w:val="0"/>
        </w:rPr>
        <w:t xml:space="preserve"> panta pirmās daļas 4.un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Nr.199 ir ietverta komercdarbības atbalsta programma, kas saskaņota ar Eiropas Komisiju SA.111033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grozījumus likumā "Par akcīzes nodokli", ar grozījumiem MK noteikumos Nr.199 palielinās atbalsta programmas kopējais gada budžets, par kuru šobrīd ir iesniegta kopsavilkuma informācija Eiropas Komisijai kurā norādīts, ka kopējais gada budžets ir 1 200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piešķirtais valsts atbalsts kopā pēdējos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- 2022.gadā - 645,5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- 2023.gadā - 567,5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straujāku akcīzes nodokļa likmes pieaugumu dabasgāzei, ko izmanto kā kurināmo, un mērenāku akcīzes nodokļa likmes pieaugumu dabasgāzei, kuru izmanto kā kurināmo rūpniecībā vai kā kurināmo lauksaimniecības nozarēs, palielinās arī akcīzes nodokļa likmju starpība jeb piešķirtā valsts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šim konstatētos lielākos dabasgāzes patēriņa apjomus rūpnieciskām vajadzībām un atbilstošajās lauksaimniecības nozarēs, tiek vērtēts, ka piešķirtais valsts atbalsta apjoms turpmākajos divos gados nepārsniegs: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- 2025.gadā - 966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- 2026.gadā - 1 261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secināts, ka ar grozījumiem likumā "Par akcīzes nodokli"  un grozījumiem MK noteikumos Nr.199 netiek palielināts paziņotais atbalsta programmas gada budžets vairāk nekā 20% apmērā, ievērojot Komisijas 2004.gada 21.aprīļa Regulas Nr.794/2024, ar ko īsteno Padomes Regulu (ES) Nr.2015/1589, ar ko nosaka sīki izstrādātus noteikumus Līguma par Eiropas Savienības darbību 108.panta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2024.gada 17.decembra rīkojumā Nr. 1191 "Par Vides pārraudzības valsts biroja un Būvniecības valsts kontroles biroja reorganizāciju" noteikto, kas paredz ar 2025.gada 1.februāri reorganizēt Vides pārraudzības valsts biroju un Būvniecības valsts kontroles biroju, ir nepieciešams precizēt institūcijas nosaukumu MK noteikumu Nr.199 70.</w:t>
      </w:r>
      <w:r w:rsidR="00000000" w:rsidRPr="00000000" w:rsidDel="00000000">
        <w:rPr>
          <w:vertAlign w:val="superscript"/>
          <w:rtl w:val="0"/>
        </w:rPr>
        <w:t xml:space="preserve">7</w:t>
      </w:r>
      <w:r w:rsidR="00000000" w:rsidRPr="00000000" w:rsidDel="00000000">
        <w:rPr>
          <w:rtl w:val="0"/>
        </w:rPr>
        <w:t xml:space="preserve">1. apakšpunktā un 70.</w:t>
      </w:r>
      <w:r w:rsidR="00000000" w:rsidRPr="00000000" w:rsidDel="00000000">
        <w:rPr>
          <w:vertAlign w:val="superscript"/>
          <w:rtl w:val="0"/>
        </w:rPr>
        <w:t xml:space="preserve">9</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Nr.199 70.</w:t>
      </w:r>
      <w:r w:rsidR="00000000" w:rsidRPr="00000000" w:rsidDel="00000000">
        <w:rPr>
          <w:vertAlign w:val="superscript"/>
          <w:rtl w:val="0"/>
        </w:rPr>
        <w:t xml:space="preserve">7</w:t>
      </w:r>
      <w:r w:rsidR="00000000" w:rsidRPr="00000000" w:rsidDel="00000000">
        <w:rPr>
          <w:rtl w:val="0"/>
        </w:rPr>
        <w:t xml:space="preserve"> 1. apakšpunktā un 70.</w:t>
      </w:r>
      <w:r w:rsidR="00000000" w:rsidRPr="00000000" w:rsidDel="00000000">
        <w:rPr>
          <w:vertAlign w:val="superscript"/>
          <w:rtl w:val="0"/>
        </w:rPr>
        <w:t xml:space="preserve">9</w:t>
      </w:r>
      <w:r w:rsidR="00000000" w:rsidRPr="00000000" w:rsidDel="00000000">
        <w:rPr>
          <w:rtl w:val="0"/>
        </w:rPr>
        <w:t xml:space="preserve"> punktā vārdi "Būvniecības valsts kontroles birojs" attiecīgajā locījumā ir aizstāti ar vārdiem "Enerģētikas un vides aģentūra".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iedzīvotājiem (mājsaimniecībām), kuras izmanto dabasgāzi apkurē vai ēdiena pagatavošanā.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juridiskajām personām, kas izmanto dabasgāzi par kurināmo savas darbības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normas izriet no Saeimā 2024.gada 4.decembrī pieņemtajiem grozījumiem likumā "Par akcīzes nodokli". Minētā likumprojekta anotācijā ir iekļauts ietekmes izvērtējums uz iedzīvotājiem un uzņēmējiem.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2014.gada 17.jūnija Regula (EK) Nr.651/2014, ar ko noteiktas atbalsta kategorijas atzīst par saderīgām ar iekšējo tirgu, piemērojot Līguma 107. un 108. pantu (turpmāk - Regula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2014.gada 17.jūnija Regula (EK) Nr.651/2014, ar ko noteiktas atbalsta kategorijas atzīst par saderīgām ar iekšējo tirgu, piemērojot Līguma 107. un 108. pantu (turpmāk - Regula 651/2014)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 2.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651/2014 prasības ir atbilstoši ieviestas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Saeimā 2024.gada 4.decembrī pieņemtos grozījumus likumā "Par akcīzes nodokli", norādām, ka pārskatītās akcīzes nodokļa likmes dabasgāzei izmantošanai atsevišķiem mērķiem pārsniedz Padomes 2003.gada 27.oktobra Direktīvā 2003/96/EK, kas pārkārto Kopienas noteikumus par nodokļu uzlikšanu energoproduktiem un elektroenerģijai, noteiktos minimālos nodokļu līmeņus.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saistīts ar Saeimā 2024.gada 4.decembrī pieņemto likumu "Grozījumi likumā "Par akcīzes nodokli"" skaidrojums par sabiedrības līdzdalību ir sniegts minētā likuma anotācijā tā izstrādes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septembra Nacionālā trīspusējās sadarbības padomes, kurā piedalījās sociālie partneri, konceptuāli tika atbalstīti nodokļu pārskatīšanas scenāriji, pamatojoties uz kuriem sagatavots un Ministru kabineta 2024. gada 19.septembra sēdē izskatīts Informatīvais ziņojums par valsts budžeta ieņēmumu un nodokļu politikas pārskatīšanu 2025. – 2027. gadā,  tai skaitā par akcīzes nodokļa pārskatīšanu naftas produktiem un dabasgāzei izmantošanai par degvielu un kurināmo.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24-TA-3226</w:t>
    </w:r>
    <w:r>
      <w:br/>
    </w:r>
    <w:r w:rsidR="00000000" w:rsidRPr="00000000" w:rsidDel="00000000">
      <w:rPr>
        <w:rtl w:val="0"/>
      </w:rPr>
      <w:t xml:space="preserve">Izdrukāts 29.07.2026. 23.50 - 5.0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24-TA-3226</w:t>
    </w:r>
    <w:r>
      <w:br/>
    </w:r>
    <w:r w:rsidR="00000000" w:rsidRPr="00000000" w:rsidDel="00000000">
      <w:rPr>
        <w:rtl w:val="0"/>
      </w:rPr>
      <w:t xml:space="preserve">Izdrukāts 29.07.2026. 23.50 - 5.0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anotācija_(ex_ante)_24-TA-3226.docx</dc:title>
</cp:coreProperties>
</file>

<file path=docProps/custom.xml><?xml version="1.0" encoding="utf-8"?>
<Properties xmlns="http://schemas.openxmlformats.org/officeDocument/2006/custom-properties" xmlns:vt="http://schemas.openxmlformats.org/officeDocument/2006/docPropsVTypes"/>
</file>