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programmu 2021. – 2027. gadam 4.2.1.5. pasākuma "Izglītības iestāžu nodrošinājums pilnveidotā vispārējās izglītības satura kvalitatīvai ieviešanai pamata un vidējās izglītības pakāpē" (turpmāk – 4.2.1.5. pasākums) otrās projekta iesniegumu atlases kārtas īstenošanas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Deklarācijā par Evikas Siliņas vadītā Ministru kabineta iecerēto darbību ir teikts, ka kopējs darbs izglītības uzlabošanā ir veicamie soļi, lai vairotu ikviena Latvijas iedzīvotāja piederības sajūtu un kopējo valsts labklājību, kā arī, ka mūsdienu demogrāfijas izaicinājumi risināmi gan ar investīcijām bērnu nākotnē, gan ar kvalitatīvas izglītības iespējām no bērnības līdz sirmam vecumam. Izglītības sistēmai jānodrošina katram bērnam iespēja apgūt nepieciešamās zināšanas un kompetences, kā arī jānostiprina motivācija un spēja turpināt izglītoties pēc skolas beigšanas. Ikvienam bērnam Latvijā neatkarīgi no dzīvesvietas ir jānodrošina kvalitatīva izglītība, kuru īsteno motivēti pedagogi ilgtspējīgā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novembra sēdē apstiprinātā informatīvajā ziņojumā “Kompleksi risinājumi augstvērtīgai izglītības nodrošināšanai vispārējā pamata un vidējā izglītībā” (turpmāk – informatīvais ziņojums par kompleksiem risinājumiem augstvērtīgai izglītības nodrošināšanai) ir noteikts, ka lai nodrošinātu izglītības kvalitāti un līdzvērtīgas iespējas izglītības programmas apguvei neatkarīgi no skolēna dzīvesvietas, uzlabotu izglītības sistēmas infrastruktūras, cilvēkkapitāla un finanšu resursu pārvaldību, panāktu būtisku pedagogu darba atalgojuma pieaugumu, kas ir viens no būtiskiem motivācijas faktoriem pedagogu labizjūtas uzlabošanai, nepieciešams rast kompleksus risinājumus efektīvai vispārējās izglītības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minētā informatīvā ziņojuma 2023.gada 21.jūnija protokollēmuma Nr.58, 66. § 4.punktu, Izglītības un zinātnes ministrija apkopoja pašvaldību vajadzības par nepieciešamajām investīcijām izglītības infrastruktūras paplašināšanai un/vai dienesta viesnīcu celtniecībai, un ar izglītojamo uzturēšanos saistītos izdevumus (t. sk. ēdināšana, sociālais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izglītības iestāžu tīkla sakārtošana ir būtisks priekšnosacījums,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sekmētu kvalitatīvas, izglītojamā spējas attīstošas izglītības pieejamību katram izglītojamajam;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racionālu un efektīvu izglītības resursu izmantošanu, tādējādi veicinot iespēju izglītības iestādēs modernizēt mācību vidi, nodrošināt mācību satura apguvei nepieciešamo aprīkojumu, kā arī izglītības iestādes pedagogiem radīt konkurētspējīgu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palielinātu atbalsta personāla un pakalpojumu pieejamību atbilstoši izglītojamo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piemērotos apstākļus izglītības satura apguvei un nodrošināšanā, jāturpina investīcijas pašvaldības izglītības iestāžu infrastruktūrā, īpaši atbalstot tās pašvaldībās, kas ir izpildījušas izglītības iestāžu tīkla optimizācijas kritērijus.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pasākuma otrās projekta iesniegumu atlases kārtu ieviešanu, lai nodrošinātu  atbalstu pašvaldībām, kuras ir pabeigušas tās administratīvajā teritorijā esošo vispārējās izglītības iestāžu tīkla sakārtošanu, ko apliecina Izglītības un zinātnes ministrijā iesniegti vai saskaņoti pašvaldības domes pieņemti lēmumi par pašvaldības dibinātu vispārējās izglītības iestāžu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 kārtas ieviešana sekmē 2021.gada 22.jūnijā Ministru kabinetā apstiprinātās Izglītības attīstības pamatnostādnēs 2021. –2027.gadam (turpmāk – IAP2027) noteiktā 2.2.1.uzdevuma “Stiprināt vispārējās izglītības iestāžu nodrošinājumu ar mūsdienīgas un kvalitatīvas izglītības īstenošanai nepieciešamajiem resursiem, pilnveidot mācību vidi un infrastruktūru” izpildi, kā arī atbilst Valdības rīcības plānā noteiktajam pasākumam (Nr. 27.3) par ilgtspējīgas izglītības ekosistēmas projektu attīstību.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 projekta iesniegumu atlases kārta pēctecīgi turpina Eiropas Savienības fondu 2014. – 2020. gada plānošanas periodā 8.1.2. specifiskā atbalsta mērķa „Uzlabot vispārējās izglītības iestāžu mācību vidi”, t.sk. REACT-EU atbalstu, kuram bijusi nozīmīga ietekme arī uz pašvaldību izglītības iestāžu tīkla sakārtošanu, ievērojot, ka tā ieviešanas noteikumi paredzēja izglītības iestādes atbilstību stratēģiskajiem priekšatlases kritērijiem, tostarp kritērijam par izglītojamo skaitu. Atveseļošanas fonda 3.1.1.5. investīcija „Izglītības iestāžu infrastruktūras pilnveide un aprīkošana” (turpmāk – 3.1.1.5. investīcija) sniegusi ieguldījumu vispārējās izglītības iestāžu tīkla attīstībā, nodrošinot efektīvu resursu izmantošanu un koncentrāciju, stiprinot izglītojamo skaita ziņā ilgtspējīgas pamatskolas, tādejādi veicinot kvalitatīvas izglītības ieguvi ārpus novadu pašvaldību administratīvajiem centriem.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w:t>
      </w:r>
      <w:r w:rsidR="00000000" w:rsidRPr="00000000" w:rsidDel="00000000">
        <w:rPr>
          <w:b w:val="1"/>
          <w:rtl w:val="0"/>
        </w:rPr>
        <w:t xml:space="preserve">mērķis </w:t>
      </w:r>
      <w:r w:rsidR="00000000" w:rsidRPr="00000000" w:rsidDel="00000000">
        <w:rPr>
          <w:rtl w:val="0"/>
        </w:rPr>
        <w:t xml:space="preserve">ir uzlabot vispārējās izglītības iestāžu mācību  vidi, nodrošinot  efektīvu resursu koncentrēšanu un izmantošanu un stiprinot vispārējās izglītības iestāžu nodrošinājumu ar mūsdienīgas un kvalitatīvas pamata un vidējās izglītības īstenošanai nepieciešamo nodrošinājumu, tādējādi uzlabojot piekļuvi kvalitatīviem pakalpojumiem izglītības jomā. Pasākuma fokuss ir atbalstīt tās pašvaldības, kas ir iesaistījušas vispārējās izglītības iestāžu tīkla sakārtošanas reformā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w:t>
      </w:r>
      <w:r w:rsidR="00000000" w:rsidRPr="00000000" w:rsidDel="00000000">
        <w:rPr>
          <w:b w:val="1"/>
          <w:rtl w:val="0"/>
        </w:rPr>
        <w:t xml:space="preserve">mērķa grupa </w:t>
      </w:r>
      <w:r w:rsidR="00000000" w:rsidRPr="00000000" w:rsidDel="00000000">
        <w:rPr>
          <w:rtl w:val="0"/>
        </w:rPr>
        <w:t xml:space="preserve">ir pašvaldības un to dibinātas pamata un vispārējās vidējās izglītības iestādes, to pedagogi un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kārtas īstenošanai plānotais </w:t>
      </w:r>
      <w:r w:rsidR="00000000" w:rsidRPr="00000000" w:rsidDel="00000000">
        <w:rPr>
          <w:b w:val="1"/>
          <w:rtl w:val="0"/>
        </w:rPr>
        <w:t xml:space="preserve">finansējums  </w:t>
      </w:r>
      <w:r w:rsidR="00000000" w:rsidRPr="00000000" w:rsidDel="00000000">
        <w:rPr>
          <w:rtl w:val="0"/>
        </w:rPr>
        <w:t xml:space="preserve">ir 38 886 399 euro, ko veido Eiropas Reģionālās attīstības fonda (turpmāk - ERAF) finansējums – 33 053 439 euro un pašvaldību budžeta līdzfinansējums – 5 832 960 euro. ERAF atbalsts tiek piešķirts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 </w:t>
      </w:r>
      <w:r w:rsidR="00000000" w:rsidRPr="00000000" w:rsidDel="00000000">
        <w:rPr>
          <w:b w:val="1"/>
          <w:rtl w:val="0"/>
        </w:rPr>
        <w:t xml:space="preserve">līdz 2027. gada 31. decembrim</w:t>
      </w:r>
      <w:r w:rsidR="00000000" w:rsidRPr="00000000" w:rsidDel="00000000">
        <w:rPr>
          <w:rtl w:val="0"/>
        </w:rPr>
        <w:t xml:space="preserve"> un sasniedzot šādu </w:t>
      </w:r>
      <w:r w:rsidR="00000000" w:rsidRPr="00000000" w:rsidDel="00000000">
        <w:rPr>
          <w:b w:val="1"/>
          <w:rtl w:val="0"/>
        </w:rPr>
        <w:t xml:space="preserve">nacionālo rādītāju</w:t>
      </w:r>
      <w:r w:rsidR="00000000" w:rsidRPr="00000000" w:rsidDel="00000000">
        <w:rPr>
          <w:rtl w:val="0"/>
        </w:rPr>
        <w:t xml:space="preserve">: izglītības iestādes, kurās modernizēta mācību vide, - ne mazāks kā 20. Rādītāja izpildi analizē projekta beigās. Finansējuma saņēmējs nodrošina datu uzkrāšanu un ziņošanu par rādītāju sasniegšanu Kohēzijas politikas fondu vadības informācijas sistēmā, iesniedzot maksājuma pieprasījumu, un nacionālo rādītāju vērtības sasniegšanas uzraudzību veic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atlases tiks īstenota ierobežotās projektu iesniegumu atlases veidā, pirms tam veicot projekta iesniedzēju </w:t>
      </w:r>
      <w:r w:rsidR="00000000" w:rsidRPr="00000000" w:rsidDel="00000000">
        <w:rPr>
          <w:b w:val="1"/>
          <w:rtl w:val="0"/>
        </w:rPr>
        <w:t xml:space="preserve">priekšatlasi</w:t>
      </w:r>
      <w:r w:rsidR="00000000" w:rsidRPr="00000000" w:rsidDel="00000000">
        <w:rPr>
          <w:rtl w:val="0"/>
        </w:rPr>
        <w:t xml:space="preserve">. Priekšatlases rezultātā tiks noteiktas pašvaldības - projektu iesniedzēji un katrai pašvaldībai pieejamais finansējums. Priekšatlasē piedalās: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kuras dibinātās vispārējās izglītības iestādes ne vēlāk kā vienu mēnesi pēc noteikumu spēkā stāšanās atbilst šo noteikumu 1. pielikumā minētajiem kritērijiem. Ja pašvaldības dibināta vispārējās izglītības iestāde neatbilst šo noteikumu 1. pielikuma 1. punktā minētajiem kritērijiem atbilstoši tā paša pielikuma 3. punktā minētajos gadījumos, tad pašvaldība sniedz pierādījumos balstītu apliecinājumu, ka vispārējās izglītības iestādes atbilstība tiks nodrošināta līdz 2027.gada 31.augustam. Kritēriji izriet no informatīvā ziņojuma par kompleksiem risinājumiem augstvērtīgai izglītības nodrošināšanai, kurā tika izskaidrota (a) pašvaldību dibināto izglītības iestāžu tīkla efektivitāte (izmaksas, kapacitāte, cilvēkresursu nodrošinājums u.c.) pret sasniegtajiem rezultātiem, kā arī (b) piedāvāti vairāki risinājumi, lai uzlabotu pārvaldību un mērķtiecīgāk investētu sakārtotā un ilgtspējīgā izglītības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 Ņemot vērā, ka Rīgas valstspilsētas pašvaldība ir ievērojami lielāka, nekā parējās pašvaldības un tās izglītības iestāžu tīkla sakārtošana ir saistība ar lielākiem laika un finanšu resursiem, kā arī vispārējo pamata un vidējo izglītību Rīgas valstspilsētas pašvaldībā apgūst vairāk nekā 30% no Latvijas attiecīgajiem izglītojamiem, izņēmuma kārtā šī pašvaldība var pretendēt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viena mēneša laikā pēc priekšatlases ietvaros iesniegtās informācijas izvērtēšanas iesniedz Ministru kabinetā informāciju lēmuma pieņemšanai par priekšatlasē atlasītajām pašvaldībām un par katrai pašvaldībai plānoto maksimālo ERAF finansējumu. Pašvaldībai maksimāli plānotais ERAF finansējums tiek aprēķināts proporcionāli pašvaldības dibināto vispārējās izglītības iestāžu izglītojamo skaitam 1.–12. klašu grupā saskaņā ar Valsts izglītības informācijas sistēmā pieejamajiem datiem uz 2024. gada 1. septembri, neizmantojot personalizētos datus. ERAF finansējums Rīgas valstspilsētas pašvaldībai nepārsniedz 5 000 000 euro. Sadarbības iestāde mēneša laikā pēc Ministru kabineta lēmuma pieņemšanas nosūta Ministru kabineta lēmumā minētajām pašvaldībām uzaicinājumu sagatavot un iesniegt projekta iesniegumu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projekta iesniegumu atlases kārtas ietvaros tiek atbalstīti projekti, kas citā starpā atbilst šādiem </w:t>
      </w:r>
      <w:r w:rsidR="00000000" w:rsidRPr="00000000" w:rsidDel="00000000">
        <w:rPr>
          <w:b w:val="1"/>
          <w:rtl w:val="0"/>
        </w:rPr>
        <w:t xml:space="preserve">nosacījumiem</w:t>
      </w:r>
      <w:r w:rsidR="00000000" w:rsidRPr="00000000" w:rsidDel="00000000">
        <w:rPr>
          <w:rtl w:val="0"/>
        </w:rPr>
        <w:t xml:space="preserve">, tādējādi nodrošinot, ka investīcijas tiks veiktas vidējās un augstās gatavības projektos un stabilajās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iesniegumā plānotās darbības atbilst projekta iesniedzēja pašvaldības attīstības programmas investīciju plānam un ir pamatotas pašvaldības attīstības programmā. Nosacījums nodrošina, ka projekta iesniedzējam ir ilgtermiņa stratēģija saistībā ar izglītības iestāžu infrastruktūras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plānotie būvdarbu termiņi nodrošina faktisko būvdarbu uzsākšanu ne vēlāk ka deviņus mēnešus pēc projekta iesnieguma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sagatavota vismaz viena iepirkuma dokumentācija iepirkuma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kuras dibinātās vispārējās izglītības iestādes ne vēlāk kā vienu mēnesi pēc noteikumu spēkā stāšanās atbilst šo noteikumu 1. pielikumā minētajiem kritērijiem, atbalstam izvirza vispārējās izglītības iestādi, kas atbilst šo noteikumu 1. pielikuma 1., 3., 4. un 5. punkta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 atbalstam izvirza vispārējās izglītības iestādi, kas atbilst šo noteikumu 1. pielikuma 1., 3., 4. un 5. punkta kritērijiem, un izglītības iestāžu tīkla optimizēšanas rezultātā atbalstam izvirzītajā vispārējās izglītības iestādē paredzams izglītojamo skaita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izvirzāmo izglītības iestāžu skaits nav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w:t>
      </w:r>
      <w:r w:rsidR="00000000" w:rsidRPr="00000000" w:rsidDel="00000000">
        <w:rPr>
          <w:b w:val="1"/>
          <w:rtl w:val="0"/>
        </w:rPr>
        <w:t xml:space="preserve">atbalstāmās darbības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iestādes ēkas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iestādes dienesta viesnīcas būvniecība,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izglītības iestādes sporta infrastruktūras pārbūve vai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dabaszinātņu (ķīmijas, bioloģijas, fizikas) un matemātikas kabinetu (tai skaitā praktisko darbu telpu) pārbūve, atjaunošana, izveide vai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vides uzlabošana un mācību procesa nodrošināšanai paredzēta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komunikācijas tehnoloģiju risinājumu ieviešana un aprīkojuma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teritorijas labiekārtošana, to starp izglītojamo drošības nodrošināšanai paredzēti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atbalstāmās darbības atbilst Eiropas Savienības kohēzijas politikas programmas 2021.–2027.gadam 4.2. prioritātes “Izglītība, prasmes un mūžizglītība” noteiktajiem </w:t>
      </w:r>
      <w:r w:rsidR="00000000" w:rsidRPr="00000000" w:rsidDel="00000000">
        <w:rPr>
          <w:b w:val="1"/>
          <w:rtl w:val="0"/>
        </w:rPr>
        <w:t xml:space="preserve">intervences kodam</w:t>
      </w:r>
      <w:r w:rsidR="00000000" w:rsidRPr="00000000" w:rsidDel="00000000">
        <w:rPr>
          <w:rtl w:val="0"/>
        </w:rPr>
        <w:t xml:space="preserve"> – Nr.122 “Pamatizglītības un vidējās izglītības infrastruktūra” (ERAF finansējums 33 053 439euro).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jaunās ēkas būvniecības un pilna apjoma pārbūves, kā arī  ēkas un telpu pārbūves un atjaunošanas  plānotas izmaksas nodrošina mūsdienīgu mācību vidi, kas veicina izglītības kvalitāti. Jo īpaši svarīgi, ka mācību vide izglītības iestādē ir arī veselīga un droša, ievērojot, ka izglītojamie izglītības iestādē pavada proporcionāli lielāko dienas daļu. Piemēram, iekšējo inženiertīklu izbūve vai pārbūve tiks samērota ar klašu telpu izmēriem (tilpumu) un paredzamo audzēkņu skaitu, tādējādi nodrošinot pietiekama svaiga gaisa pieplūdi mācību telpām, nepārsniedzot CO2 koncentrācija iekštelpās 1000 ppm, ja tiek veikta jaunās ēkas būvniecība un pilna apjoma pārbūve vai  ēkas un telpu pārbūve un atjaunošana. Īstenojot darbību ievēro Būvniecības likumā un Ministru kabineta 2021.gada 19.oktobra noteikumos Nr. 693 „Būvju vispārīgo prasību būvnormatīvs” noteiktās prasības par vides pieejamības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STEM mācību priekšmetu pasniegšanas kvalitāti un apguves sniegumu, kā arī interesi par attiecīgajām zinātnēm, 4.2.1.5. pasākuma otrās projektu iesniegumu atlases projekta iesniegumu atlases kārtas ietvaros tiek veicināta dabaszinātņu (ķīmijas, bioloģijas, fizikas) un matemātikas kabinetu (tai skaitā praktisko darbu telpu) izveides vai pilnveides izmaksas un šo kabinetu aprīkojuma un inventāra iegādes izmaksas vismaz 20 procenti no projekta kopējām attiecināmajām izmaksām. Plānojot minētās izmaksas, projekta iesniedzējs ņem vērā Valsts izglītības satura centra izstrādātās vadlīnijas par  dabaszinātņu (ķīmijas, bioloģijas, fizikas) un matemātikas kabinetu nodrošinājumu, kuru pieejamība tiks nodrošināta līdz projektu iesniegumu atlases izsludināšanai.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ietvaros veiktās priekšizpētes rezultātus. Minētās investīcijas ietvaros uzsākta priekšizpēte tiks pabeigta līdz 2024. gada beigām, aptverot informāciju par visām vispārējās izglītības iestādēm un veicot padziļināto izpēti vismaz 50 no 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2021.–2027.gada plānošanas periodā, kā arī kā arī Eiropas Savienības fondu 2021.–2027. gada plānošanas perioda un Atveseļošanas fonda komunikācijas un dizaina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ietvaros ir atbalstāma vispārējās izglītības iestāžu vai saistītā infrastruktūras (dienesta viesnīca, internets, sporta laukums) būvniecība, pārbūve vai atjaunošana, noteikumu projektā kā projekta izdevumu pozīcija ir iekļauti neparedzētie izdevumi, kuru apmērs nepārsniedz piecus procentus no projekta kopējām attiecināmajām izmaksām. Šāds izdevumu apmērs noteikts pamatojoties uz līdzšinējo pieredzi līdzīga veida izglītības iestāžu infrastruktūras uzlabošanas investīciju programmās, kas kopumā ir bijis pietiekams iepriekš neparedzamu ar projektu īstenošanu saistītu gadījumu risināšanā. Līdzīgi kā Eiropas Savienības struktūrfondu un Kohēzijas fonda 2014. – 2020. gada plānošanas periodā, neparedzēto izmaksu faktiska izmantošana būs iespējama pēc pašvaldības pēc to rašanās un izmantošanas pamatojuma izvērtējuma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izmaksas ir attiecināmas</w:t>
      </w:r>
      <w:r w:rsidR="00000000" w:rsidRPr="00000000" w:rsidDel="00000000">
        <w:rPr>
          <w:b w:val="1"/>
          <w:rtl w:val="0"/>
        </w:rPr>
        <w:t xml:space="preserve"> no šo noteikumu spēkā stāšanās dienas, izņemot</w:t>
      </w:r>
      <w:r w:rsidR="00000000" w:rsidRPr="00000000" w:rsidDel="00000000">
        <w:rPr>
          <w:rtl w:val="0"/>
        </w:rPr>
        <w:t xml:space="preserve"> izmaksas, kas ir saistītas ar būvprojekta, būvdarbu ieceres dokumentācijas, būvprojekta minimālā sastāvā, paskaidrojuma raksta izstrādi vai aktualizāciju, neatkarīgu  būvekspertīžu  veikšanu   un  tehnisko   apsekošanu   (tajā skaitā  neatkarīgas būvprojekta ekspertīzes veikšanas izmaksas), kā arī energosertifikācijas, ekspertīzes un izpētes izmaksas, ja to veikšana ir priekšnosacījums, lai izstrādātu būvprojektu, būvdarbu ieceres dokumentāciju vai būvprojektu minimālā sastāvā. Minētas izmaksas ir attiecināmas, ja tās veiktas, sākot ar 2023. gada 1. janvāri. Finansējuma saņēmējs šādas izmaksas sākotnēji sedz no pašvaldības budžeta līdzekļiem, un pēc vienošanās par projekta īstenošanu noslēgšanas ar sadarbības iestādi izdevumus pamatojošos dokumentus iesniedz ar starpposma maksājuma pieprasījumu. Vienlaikus darbības, kas ir uzsāktas pirms vienošanās par projekta īstenošanu noslēgšanas, nedrīkst būt pabeigtas.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sasniegto rezultātu </w:t>
      </w:r>
      <w:r w:rsidR="00000000" w:rsidRPr="00000000" w:rsidDel="00000000">
        <w:rPr>
          <w:b w:val="1"/>
          <w:rtl w:val="0"/>
        </w:rPr>
        <w:t xml:space="preserve">ilgtspēju </w:t>
      </w:r>
      <w:r w:rsidR="00000000" w:rsidRPr="00000000" w:rsidDel="00000000">
        <w:rPr>
          <w:rtl w:val="0"/>
        </w:rPr>
        <w:t xml:space="preserve">vismaz piecus gadus pēc noslēguma maksājuma veikšanas. Ilgtspēja ir noteikta attiecībā uz visu 4.2.1.5.pasākuma otro projektu iesniegumu atlases  kārtu kopumā, tomēr attiecībā uz datortehniku tiek ņemts vērā tās ekspluatācijas laiks saskaņā ar 2018. gada 13. februāra MK noteikumu Nr. 87 “Grāmatvedības uzskaites kārtība budžeta iestādēs” 2.pielikumā noteikto (katras atsevišķas datortehnikas vienības lietderīgās lietošanas laiks ir pieci gadi), t.i. nosakot ilgtspējas nodrošināšanas termiņu, tiek ņemts vērā datortehnikas lietošanas uzsākšanas laiks, pieņemot, ka tā tiek izsākta īpašumtiesību iegūšanas dienā. Vienlaikus regulas Nr. 2021/1060 65.pants atrunā izmaiņu gadījumus, un pasākuma otrās projektu iesniegumu kārtas gadījumā tā būtu skolu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Piecus gadus pēc noslēguma maksājuma saņemšanas pašvaldība nodrošina atbalstu saņēmušo vispārējās izglītības iestāžu atbilstību šo noteikumu 1. pielikuma minētajiem kritērijiem, tajā skaitā, pašvaldība nepieņem jaunus vai neveic grozījumus iepriekš pieņemtajos domes lēmumos attiecībā uz atbalstam izvirzīto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Racionālai un efektīvai izglītībai atvēlēto finanšu un materiālu resursu izmantošanai, izglītības iestāžu optimizācijas ietvaros, 4.2.1.5. pasākuma otrās projektu iesniegumu atlases kārtas projektos modernizēto infrastruktūru līdztekus var izmantota arī tās īstenotām profesionālās ievirzes izglītības programmām (mākslā, kultūrā vai sportā).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rezultātā attīstītajā infrastruktūrā </w:t>
      </w:r>
      <w:r w:rsidR="00000000" w:rsidRPr="00000000" w:rsidDel="00000000">
        <w:rPr>
          <w:b w:val="1"/>
          <w:rtl w:val="0"/>
        </w:rPr>
        <w:t xml:space="preserve">papildinošas saimnieciskās darbības</w:t>
      </w:r>
      <w:r w:rsidR="00000000" w:rsidRPr="00000000" w:rsidDel="00000000">
        <w:rPr>
          <w:rtl w:val="0"/>
        </w:rPr>
        <w:t xml:space="preserve"> veikšana pieļaujama ne vairāk kā 20 procentu apmērā no attiecīgās infrastruktūras gada jaudas platības vai laika, vai finanšu izteiksmē. Lai nodrošinātu minētā izpildi finansējuma saņēmējam ir jānodrošina ar apliecinošiem dokumentiem pierādāma uzskaite par papildinošās saimnieciskās darbības ierobežojuma ievērošanu, kas iesniedzama sadarbības iestādei, tai skaitā jānodrošina projekta iesnieguma un ar projekta īstenošanu un darbībām projekta dzīves cikla laikā (10 gadi) saistīto dokumentu oriģinālu vai normatīvajos aktos par dokumentu izstrādāšanu un noformēšanu noteiktajā kārtībā apliecinātu to kopiju uzglabāšana visā projekta dzīves cikla laikā. Sadarbības iestāde papildinošas saimnieciskās darbības uzraudzību minētajos periodos projekta ietvaros uzlabotajā infrastruktūrā veic atbilstoši Izglītības un zinātnes ministrijas izstrādātam uzraudzības mehānismam (metodikai), kurš tiks izstrādāts līdz vienošanos par projektu īstenošanu noslēgšanai. Gadījumā, ja projekta īstenošanas rezultātā attīstītajā infrastruktūrā ir veikta papildinoša saimnieciskā darbība, kas pārsniedz iepriekš minēto apmēru vai tiek veikta saimnieciskā darbība, kas nav uzskatāma par papildinošu saimniecisko darbību, finansējuma saņēmējam ir pienākums atmaksāt sadarbības iestādei visu projekta ietvaros saņemto nelikumīgo komercdarbības atbalstu kopā ar procentiem. Projekta dzīves cikla laiks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Papildinoša saimnieciskā darbība ir tāda saimnieciska darbība, kas tieši saistīta ar infrastruktūras ekspluatāciju un izmantošanu ar saimniecisku darbību nesaistītā finansējuma saņēmēja pamatdarbības jomā, tai tiek patērēti tādi paši resursi (piemēram, aprīkojums un darbaspēks) kā ar saimniecisku darbību nesaistītai pamatdarbībai, tai skaitā, projekta ietvaros attīstītās infrastruktūras iznomāšana citai, ar vispārējās izglītības pakalpojumu sniegšanu, nesaistītai pusei, piemēram: a) mācību telpas iznomāšana interešu izglītības iestādēm; b) sporta zāles un tās aprīkojuma iznomāšana ārpus mācību procesa nodrošināšanai nepieciešamā laika – brīvā laika pavadīšanai, amatieru sportam; c) aktu zāles iznomāšana pašdarbības pulciņiem, lekciju un semināru rīkošanai; d) dienesta viesnīcas iznomāšana.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otrās projekta iesniegumu atlases kārtas ietvaros modernizētajā infrastruktūrā var tikt nodrošināta papildpakalpojumu sniegšana. Papildpakalpojumi ir pakalpojumi (saimnieciska darbība) infrastruktūrā, ja pakalpojumus galvenokārt izmanto ar saimniecisku darbību nesaistītai pamatdarbībai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 pakalpojumu pamatā izmanto ierobežots lietotāju loks – tie, kas ir tieši saistīti ar konkrētās infrastruktūras darbību – piemēram, iestādes darbinieki, skolēni, utml. Attiecīgi par parastajiem papildpakalpojumiem uzskata, piemēram, kafejnīcas vai ēdnīcas darbību izglītības iestādes ēkās, ēdienu un dzērienu automāti, utml. Papildpakalpojumiem nav jāpiemēro iedalītās kapacitātes ierobežojumi, jo papildpakalpojumiem netiek patērēti tādi paši resursi (piemēram, materiāli, aprīkojums, darbaspēks un pamatkapitāls) kā ar saimniecisku darbību nesaistītai finansējuma saņēmēja pamatdarbībai.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investīcijas paredzētas izglītības infrastruktūrā, un to nākotnes ieguvumu novērtēšana, tostarp naudas izteiksmē, ir ierobežota. Arī finanšu ilgtspēja ir jāaplūko no valstij noteiktās funkcijas par pamatizglītības nodrošināšanas obligātumu.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iepriekš minētie apstākļi un grūtības, kas saistītas ar izglītības rezultātu novērtēšanu un mērīšanu, ir tas, kas, iespējams, ir visizteiktākais šķērslis izmaksu un ieguvumu analīzes izmantošanai izglītības jomā. Vienlaikus izmaksu un ieguvumu analīzi izmanto, tai skaitā, lai noteiktu labāko iespējamo alternatīvu, izmaksu un finanšu resursus, kas nepieciešami projekta īstenošanai, kas jau pastarpināti ir ņemts vērā, izstrādājot izglītības iestāžu tīkla optimizācijas konceptu un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viens no izmaksu un ieguvumu analīzes elementiem – risku analīze, tiks veikta projektu iesniegumu atlases ietvaros ar projektu iesniegumu vērtēšanas kritēriju (vienoto kritēriju) par projekta risku identificēšanu, novērtēšanu un risku mazinošo pasākumu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par projekta īstenošanu noslēgšanas sadarbības iestāde finansējuma saņēmējam var izmaksāt </w:t>
      </w:r>
      <w:r w:rsidR="00000000" w:rsidRPr="00000000" w:rsidDel="00000000">
        <w:rPr>
          <w:b w:val="1"/>
          <w:rtl w:val="0"/>
        </w:rPr>
        <w:t xml:space="preserve">avansu</w:t>
      </w:r>
      <w:r w:rsidR="00000000" w:rsidRPr="00000000" w:rsidDel="00000000">
        <w:rPr>
          <w:rtl w:val="0"/>
        </w:rPr>
        <w:t xml:space="preserve">, ievērojot, ka avansa un starpposma maksājumu kopsumma nepārsniedz 90 procentus no projektam piešķirtā ERAF finansējuma. Avansu sadarbības iestāde izsniedz, ja tai ir pieejami valsts budžeta līdzekļi, pamatojoties uz finansējuma saņēmēja rakstisku avansa pieprasījumu un izvērtējot plānotā avansa apmēru, tā pamatojumu un spēju to izlietot sešu mēnešu laikā saimnieciskā gada ietvaros. Avansa un starpposma maksājumu kopsummas apmērs – 90 procenti, noteikts kā optimāls variants, kas nepieciešams projektu īstenošanai, lai tiktu nodrošināta naudas plūsma projektā iekļauto darbību ieviešanai, ņemot vērā, ka projektu iesniedzēji ir pašvaldības, kurām ir ierobežotas budžeta iespējas Eiropas Savienības fondu projektu priekšfinansēšanai, kā arī ņemot vērā, ka nepieciešams veicināt investīciju nonākšanu tautsaimniecībā un nodrošināt n+3 principa izpildi, ievērojot, ka kopumā būtiski kavējas ES kohēzijas politikas programmas 2021.-2027. gadam specifisko atbalsta mērķu un pasākumu uzsākšana.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finansējuma saņēmējs nosaka kārtību, kādā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īstenotajiem projektiem </w:t>
      </w:r>
      <w:r w:rsidR="00000000" w:rsidRPr="00000000" w:rsidDel="00000000">
        <w:rPr>
          <w:b w:val="1"/>
          <w:rtl w:val="0"/>
        </w:rPr>
        <w:t xml:space="preserve">nevajadzētu nodarīt būtisku kaitējumu </w:t>
      </w:r>
      <w:r w:rsidR="00000000" w:rsidRPr="00000000" w:rsidDel="00000000">
        <w:rPr>
          <w:rtl w:val="0"/>
        </w:rPr>
        <w:t xml:space="preserve">vides mērķiem Eiropas Parlamenta un Padomes 2020. gada 18.jūnija Regulas (ES) Nr. 2020/852 par regulējuma izveidi ilgtspējīgu ieguldījumu veicināšanai un ar ko groza Regulu (ES) 2019/2088 17. panta izpratnē, tas ir, finansējuma saņēmējs nodrošina, ka projekts atbilst principam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īstenots </w:t>
      </w:r>
      <w:r w:rsidR="00000000" w:rsidRPr="00000000" w:rsidDel="00000000">
        <w:rPr>
          <w:b w:val="1"/>
          <w:rtl w:val="0"/>
        </w:rPr>
        <w:t xml:space="preserve">sinerģijā </w:t>
      </w:r>
      <w:r w:rsidR="00000000" w:rsidRPr="00000000" w:rsidDel="00000000">
        <w:rPr>
          <w:rtl w:val="0"/>
        </w:rPr>
        <w:t xml:space="preserve">ar: a) Atveseļošanas fonda 3.1.1.5. investīciju;  b) darbības programmas „Izaugsme un nodarbinātība” 13.1.2.2. pasākumu „Izglītības iestāžu digitalizācija” pasākumu „Izglītības iestāžu digitalizācija”; c) Atveseļošanās fonda 2.3.2.3. investīciju „Digitālās plaisas mazināšana sociāli neaizsargātajam grupām un izglītības iestādēs”; un d) Eiropas Savienības kohēzijas politikas programma 2021.–2027. gadam 4.2.1.5. pasākumu „Izglītības iestāžu nodrošinājums jaunā mācību satura kvalitatīvai ieviešanai” pirmo projektu iesniegumu atlases kārtu; e) valsts budžeta aizdevumiem, kurus nodrošina saskaņā ar 2024.gada 5. marta Ministru kabineta noteikumiem Nr. 159 "Kritēriji un kārtība, kādā tiek izvērtēti pašvaldību investīciju projektu pieteikumi valsts budžeta aizdevuma saņemšanai". Attiecīgi pasākuma projektos, tostarp projektu iesniegumu atlasē, var tikt piemēroti ierobežojumi attiecībā uz portatīvās datortehnikas iegādi, vienlaikus akceptējot citu mācību procesam nepieciešama aprīkojuma iegādi. Savukārt būvdarbu ietvaros ir jāizveido vai jāuzlabo informāciju komunikāciju un tehnoloģiju risinājumi, īpaši attiecībā uz jaudīga un uzticama interneta pieslēguma un bezvadu interneta tīkla izveidi vai uzlabošanu, nodrošinot nepārklāšanos ar iepriekšminēto 2.3.2.3. investīciju.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Demarkācija </w:t>
      </w:r>
      <w:r w:rsidR="00000000" w:rsidRPr="00000000" w:rsidDel="00000000">
        <w:rPr>
          <w:rtl w:val="0"/>
        </w:rPr>
        <w:t xml:space="preserve">ar minēto pasākumu investīciju projektiem, un citiem investīciju projektiem, tostarp tādiem, kas tiek īstenoti ar valsts budžeta aizņēmumu, tiks nodrošināta projektu līmenī, pārbaudot Kohēzijas politikas fondu vadības informācijas sistēmu un ministrijas valsts budžeta aizņēmuma programmas ietvaros iesniegtos projektus, un pārliecinoties, ka vienas un tās pašas atbalstāmās darbības un attiecināmās izmaksas nav vai netiek plānota to finansēšana dubultā (tajā skaitā attiecībā uz PVN līdzekļu attiecināšanu vai atgūšanu projektiem, kuru kopējās izmaksas ir mazākas par 5 milj. euro (ieskaitot PVN)).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modernizēta reorganizēto vispārējās izglītības iestāžu mācību vide, nodrošinot piemērotus apstākļus izglītojamo vajadzību nodrošināšanai, tajā skaitā  padarot to ergonomisku un pilnveidotajam mācību saturam atbilstošu.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pasākuma otrās projektu iesniegumu kārtas ietvaros plānoto atbalstāmo darbību ieviešana makroekonomisko vidi tieši neietekmē. Plānotās darbības ir vērstas uz vispārējās izglītības infrastruktūras uzlabojumiem, tajā skaitā veidojot ergonomisko vidi un veicinot kvalitatīvākā izglītības satura pieejamību, tādejādi netieši ietekmējot izglītojamo snieguma paaugstināšanos un šādu IAP2027 rezultatīvo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RR 2.2. Skolēni (15 gadu vecumā) ar augstiem mācību rezultātiem (pēc PISA ‒ 5. un 6. kompetences līmenis): lasīšanā, matemātikā, dabaszinātnēs - bāze (2018) 4,8 %, 8,5 %, 3,8 %, 2027.gada mērķis 6%, 9%, 5%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Skolēni (15 gadu vecumā) ar zemiem mācību rezultātiem (zemāk par PISA 2. kompetences līmeni): lasīšanā, matemātikā, dabaszinātnēs – bāze (2018) 22,4 %, 17,3 %, 18,5 %, 2027.gada mērķis 20%, 16%, 17%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netiešā veidā palīdz risināt pedagogu nepietiekamības problēmu, jo atsaucoties uz informatīvajā ziņojumā par kompleksiem risinājumiem augstvērtīgai izglītības nodrošināšanai minēto, atbalstoša darba vide un infrastruktūru ir viens no pedagogu labizjūtu ietekmējošiem faktoriem. Pedagogu profesionālajam sniegumam ir būtiska ietekme uz mācību rezultātu un izglītības sistēmas izvirzīto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investīcas tiks veiktās pašvaldību izglītības iestādēs, kas ir sakārtojuši vispārējās izglītības iestāžu tīklu, kā arī izglītojamie varēs pilnvērtīgi un ar komfortu iesaistītes mācību procesā, izmantojot mūsdienu infrastruktūru un tehnoloģijas, tādējādi ceļos savu sniegumu, veicinot interesi par atsevišķajiem priekšmetiem.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13 930 422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13 930 422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16 388 732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13 930 422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-2 192 997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otrajai projektu iesniegumu atlases kārtai plānotais un pieejamais finansējums ir 38 886 399 euro, ko veido ERAF finansējums – 33 053 439 euro un pašvaldību budžeta līdzfinansējums – 5 832 960  euro.Budžeta ieņēmumi ir finansējuma ERAF daļa ir ne vairāk kā 85 procentu apmērā no projekta attiecināmām izmaksām. Budžeta izdevumi ir kopējie projekta ieviešanai nepieciešamie publiskā finansējuma (ERAF un pašvaldību budžeta)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indikatīvi no 2025.gada 1.ceturkšņa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ERAF finansējuma. Maksājuma pieprasījumu piešķirtā avansa maksājuma apmērā finansējuma saņēmējs iesniedz sadarbības iestādei saimnieciskā gada ietvaros, bet ne ilgāk kā sešu mēnešu laikā pēc avansa maksājuma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5 000 000 euro gadā (t.sk. ERAF 4 250 000 euro, pašvaldību līdzfinansējums 750 000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16 388 732 euro gadā (t.sk. ERAF 13 930 422 euro, pašvaldību līdzfinansējums 2 458 310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tiek plānots finansējums  14 117 647 euro gadā (t.sk. ERAF 12 000 000 euro, valsts budžets 2 117 647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tiek plānots finansējums 6 253 037 euro gadā (t.sk. ERAF 2 873 017 euro, pašvaldību līdzfinansējums 3 380 020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ietvaros personāla izmaksas netiek plānotas.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otrās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4.2.1.5. pasākuma otro projekta iesniegumu atlases kārtu tiks sekmēta viena no Nacionālā attīstības plāna mērķu izpildēm: sadarbībā ar iesaistītajām pusēm jāizveido kvalitatīvu izglītību nodrošinošs un efektīvs izglītības iestāžu tīkls ar atbilstošu mācību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finansējuma saņēmējs projekta īstenošanas laikā uzkrāj datus par projekta ietekmi uz noteiktiem horizontālā principa rādītājiem. Projektu iesniegumu atlasē tiks vērtēts (ir noteikts projektu iesniegumu vērtēšanas metodikā) vai projektu ietvaros paredzētas vispārīgas un specifiskas darbības, lai tādejādi veicinātu personu ar invaliditāti vienlīdzīgas iespējas un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uzkrāšanā un darbību īstenošanā finansējuma saņēmējs izmanto Labklājības ministrijas un Tieslietu ministrijas izstrādātās vadlīnijas “Horizontālais princips “Vienlīdzība, iekļaušana, nediskriminācija un pamattiesību ievērošana” vadlīnijas īstenošanai un uzraudzībai (2021-2027)” (atrodamas: https://www.lm.gov.lv/lv/media/22182/download?attachment).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izglītības iestāžu fiziskā vide, informācijas un mācību vides piekļūstamība. Tādējādi telpu infrastruktūra un informācijas piekļustamība sniegs ieguvumu gan izglītojamiem ar speciālām vajadzībām, gan iestāžu personālam (kas arī var būt personas ar invaliditāti), gan sabiedrībai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iekštelpu gaisa piesārņojums, gan nelabvēlīgs mikroklimats, gan nepietiekams apgaismojums vai augumam neatbilstošas un neergonomiskas mēbeles var nelabvēlīgi ietekmēt bērnu attīstību un mācīšanās spējas. Veselības inspekcijas īstenotā pētījuma „Izglītības iestāžu vides kvalitātes un drošuma pētījums” dati liecina, ka izglītības iestāžu vides kvalitāte daļēji atbilst Pasaules Veselības organizācijas ieteiktajām normām, tostarp mācību telpās esošais ventilācijas veids vai īstenotais vēdināšanas režīms daļēji spēj uzturēt izglītojamo un pedagogu veselībai nekaitīgu un drošu iekštelpu gaisa kvalitāti. Pētījumā norāda, ka gaisa piesārņojumu avots var būt ne tikai telpās esošie cilvēki, bet arī mēbeles, celtniecības un apdares materiāli, piemēram, formaldehīds, kas var izdalīties no celtniecības materiāliem un mēbelēm. Projektu iesniedzēji investīciju plānošanai vai izmantot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gaisa kvalitāti vispārējās izglītības iestāžu mācību telpās (atrodams: https://co2.mesh.lv/home/dashboard ). Arī Rīgas Stradiņa universitātē veiktie pētījumi atsevišķās skolās liecina par ļoti sliktu situāciju gan attiecībā uz iekštelpu gaisa kvalitāti, gan apgaismojumu, trokšņa līmeņiem, kā arī virkni citu prasību. Līdz ar to var pieņemt, ka 4.2.1.5. pasākuma otrās projekta iesniegumu atlases kārtas projektiem būs tieša ietekme uz izglītojamo veselības un drošības apstākļu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modernizēta, ergonomiska mācību vide vismaz 20 pašvaldību vispārējās izglītības iestādēs.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24-TA-1846</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24-TA-1846</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anotācija_(ex_ante)_24-TA-1846.docx</dc:title>
</cp:coreProperties>
</file>

<file path=docProps/custom.xml><?xml version="1.0" encoding="utf-8"?>
<Properties xmlns="http://schemas.openxmlformats.org/officeDocument/2006/custom-properties" xmlns:vt="http://schemas.openxmlformats.org/officeDocument/2006/docPropsVTypes"/>
</file>