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11. marta noteikumos Nr. 155 "Atbalsta programmas noteikumi uzņēmējdarbības zaļināšanai, atjaunīgo energoresursu izmantošanai un energoefektivitātes paaugstināšanai""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sniegšanas nosacījumu precizēšana 2.1.1.2. pasākuma "AER īstenošanas un energoefektivitātes paaugstināšana rūpniecībā un komersantos" (turpmāk - 2.1.1.2. pasākums)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2.1.1.2. pasākuma ietvaros atbalstu prioritāri piešķir projektiem, kuru īstenošanas vieta ir Saulkrastu novads, Limbažu novads, Tukuma novads un Ogres novads.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11. marta noteikumu Nr. 155 "Atbalsta programmas noteikumi uzņēmējdarbības zaļināšanai, atjaunīgo energoresursu izmantošanai un energoefektivitātes paaugstināšanai" (turpmāk - MK noteikumi Nr. 155) 37.1. apakšpunkts paredz, ka 2.1.1.2. pasākuma ietvaros projekta īstenošanas vieta ir Rīgas un Pierīgas statistiskais reģions saskaņā ar 2022. gada 25. novembrī spēkā esošo Statistiski teritoriālo vienību nomenklatūras 3. līmeņa klasifikāciju vai Latvijas Republika, ja projektu īsteno lielais saimnieciskās darbības veicējs.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reģionu ekonomiskās attīstības dati liecina par būtisku teritoriālo nevienlīdzību, īpaši iekšzemes kopprodukta radīšanā. Rīgas statistiskais reģions veido nesamērīgi lielu daļu no valsts kopējās ekonomikas (virs 26 miljardi EUR 2023. gadā), savukārt Vidzeme, Kurzeme, Zemgale un Latgale demonstrē ievērojami zemāku, savstarpēji līdzīgu ekonomisko aktivitāti (vidēji 3,36 miljardi EUR 2023. gadā) (statistikas datu avots: https://stat.gov.lv/lv/statistikas-temas/valsts-ekonomika/ikp-gada/preses-relizes/24724-ikp-regionos-2023-gada). Šāda koncentrācija ietekmē gan nodarbinātības iespējas, gan uzņēmējdarbības vidi, gan investīciju piesaisti ārpus galvaspilsētas reģiona.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reģionālās attīstības plaisu, būtiski ir nodrošināt līdzsvarotu un mērķētu publiskā atbalsta sadali, īpaši stiprinot tās teritorijas, kurās ekonomiskā aktivitāte ir zemāka. Atbalsta instrumentiem jāveicina reģionu attīstība, vienlaikus saglabājot Rīgas reģiona konkurētspēju. Līdzsvarota pieeja ļaus veidot noturīgāku un teritoriāli sabalansētāku ekonomisko struktūru, sekmējot ilgtspējīgu izaugsmi visā valstī. Ņemot vērā, ka augstāk minētie novadi ir izslēgti no Taisnīgas pārkārtošanas teritorijas, tad sniedzot šiem novadiem prioritāro atbalstu, tiks veicināta līdzsvarota atbalsta pieejamība reģionu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secināts, ka 2.1.1.2. pasākuma ietvaros atbalstu prioritāri nepieciešams sniegt teritorijām ārpus šobrīd spēkā esošā Rīgas statistiskā reģiona, tas ir Vidzemes reģionā (tas ir, Saulkrastu novads, Limbažu novads un Ogres novads) un Kurzemes reģionā (tas ir, Tukuma novads), veicinot uzņēmējdarbības aktivitāti mazāk attīstītajās teritorijās. Teritoriālās reformas rezultātā saskaņā ar 2022. gada 25. novembrī spēkā esošo Statistiski teritoriālo vienību nomenklatūras 3. līmeņa klasifikāciju Saulkrastu novads, Limbažu novads, Tukuma novads un Ogres novads bija iekļauti Pierīgas reģionā, tomēr tie nespēj vienlīdzīgi konkurēt ar Rīgas statistiskā reģiona novadiem. Ņemot vērā ierobežoto finansējumu 2.1.1.2. pasākuma ietvaros - 7 811 352 EUR, lai nodrošinātu, ka atbalstu prioritāri saņem mazāk attīstītas teritorijas, tiek ierosināti atbilstoši grozījumi MK noteikumos Nr. 155.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 gada 16. novembra rīkojumu Nr. 746 "Grozījumi Ministru kabineta 2021. gada 7. decembra rīkojumā Nr. 911 "Par Latvijas Republikas statistiskajiem reģioniem un tajos ietilpstošajām administratīvajām vienībām"" Saulkrastu novads, Limbažu novads un Ogres novads tika pievienoti Vidzemes statistiskajam reģionam, bet Tukuma novads - Kurzemes statistiskajam reģionam. Minēto novadu pārcelšana no 2.1.1.2. pasākuma uz 6.1.1.4. pasākumu "Uzņēmējdarbības zaļināšanas un energoefektīvu tehnoloģiju ieviešana uzņēmumos" (turpmāk – 6.1.1.4. pasākums) nav iespējama, jo 6.1.1.4. pasākuma teritoriālais tvērums ir noteikts Ministru kabineta 2022. gada 14. jūlija rīkojumā Nr. 531 "Par Taisnīgas pārkārtošanās teritoriālo plānu" un grozījumi šajā rīkojumā nav atbalstāmi, jo izmaiņas teritoriālajā sadalījumā nesaskaņo Eiropas Komisija. Attiecīgi, šie grozījumi ir nepieciešami, lai nodrošinātu mazāk attīstītiem reģioniem - Saulkrastu novadam, Limbažu novadam, Ogres novadam un Tukuma novadam - vienlīdzīgas iespējas tāpat kā pārējiem Kurzemes, Latgales, Vidzemes un Zemgales statistiskā reģiona novadiem.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155 12.3. apakšpunktu atbalsts lieliem saimnieciskās darbības veicējiem garantijas veidā tiek sniegts tikai kā de minimis atbalsts. Saskaņā ar Eiropas Komisijas 2025. gada 28. novembra lēmumu lietā SA.119003 (2025/N) “Guarantee methodology for large undertakings”, C(2026) 8044 final (publicēts Eiropas Savienības oficiālajā vietnē 2026. gada 30. janvārī, pieejams te:https://competition-cases.ec.europa.eu/cases/SA.119003) 6. punkta d) apakšpunktu atbalsta programmai uzņēmējdarbības zaļināšanai, atjaunīgo energoresursu izmantošanai un energoefektivitātes paaugstināšanai piemēro ar Eiropas Komisiju saskaņoto aprēķina metodiku garantijām lielajiem komersantiem.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155 tiek papildināti ar 37.1.</w:t>
      </w:r>
      <w:r w:rsidR="00000000" w:rsidRPr="00000000" w:rsidDel="00000000">
        <w:rPr>
          <w:vertAlign w:val="superscript"/>
          <w:rtl w:val="0"/>
        </w:rPr>
        <w:t xml:space="preserve">1</w:t>
      </w:r>
      <w:r w:rsidR="00000000" w:rsidRPr="00000000" w:rsidDel="00000000">
        <w:rPr>
          <w:rtl w:val="0"/>
        </w:rPr>
        <w:t xml:space="preserve"> punktu, nosakot, ka 60 darbdienu laikā kopš pieteikumu atlases uzsākšanas dienas, atbalstu prioritāri piešķir projektiem, kuru īstenošanas vieta ir Saulkrastu novads, Limbažu novads, Tukuma novads vai Ogres novads. Sabiedrība "Altum" projektu pieteikumus izvērtē un piešķirs finansējumu to iesniegšanas secībā.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pieteikumu, kuru īstenošanas vieta ir ārpus Saulkrastu novada, Limbažu novada, Tukuma novada un Ogres novada, kā arī lieliem saimnieciskās darbības veicējiem visā Latvijas Republikas teritorijā, pieņemšana tiks uzsākta sākot ar 61. darbdienu kopš pieteikumu atlases uzsākšanas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veikti tehniski precizējumi MK noteikumu 37.1. un 38.1. apakšpunktā, norādot spēkā esošu teritoriālā atbalsta tvērumu, bez atsauces uz 2022. gada 25. novembrī spēkā esošo Statistiski teritoriālo vienību nomenklatūras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Komisijas lēmumu lietā SA.119003, tiek svītrots MK noteikumu Nr. 155 12.3. apakšpunkts un papildināts 78.2.2. apakšpunkts ar atsauci uz Regulas Nr. 651/2014 5. panta 2. punkta "c" apakšpunkta "ii" punktu, kas nosaka, ka atbalstu garantiju veidā piemēro saskaņā ar Eiropas Komisiju saskaņoto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Tehnisks precizējums - MK noteikumu 26.7. un 30.8. apakšpunkts, kas paredz atbalstu saražotās enerģijas akumulēšanai vai uzglabāšanas iekārtu iegādei, papildināts ar nosacījumu, ka akumulēt vai uzglabāt var enerģiju, kas ražota pašpatēriņam. MK noteikumi ir vērsti uz komersantu energoefektivitāti, attiecīgi arī akumulētai vai uzglabātai elektroenerģijai ir jābūt vērstai uz pašpatēriņu, nevis uz atbalsta saņēmēju komercdarbību.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Ierosinātie grozījumi nerada ietekmi uz Eiropas Savienības kohēzijas politikas programmu 2021.–2027. gadam (turpmāk - Programma), tai skaitā uz Programmas rādītājiem. 2.1.1.2. pasākumā projektu iesniegumu atlase tiks uzsākta pēc šo grozījumu apstiprināšanas Ministru kabinetā, attiecīgi ierosinātie grozījumi nerada ietekmi uz gala labuma guvējiem.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sniegšanas nosacījumu precizēšana 2.1.1.2. pasākuma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https://tapportals.mk.gov.lv/public_participation/8c856699-91d5-4228-9b52-89e3adfee640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26-TA-488 Publiskā apspriešana beigusies 2026. gada 28. martā. Viedokļi netika iesniegti.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izpildes nodrošināšana tiks veikta sabiedrībai "Altum" noteikto funkciju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26-TA-488</w:t>
    </w:r>
    <w:r>
      <w:br/>
    </w:r>
    <w:r w:rsidR="00000000" w:rsidRPr="00000000" w:rsidDel="00000000">
      <w:rPr>
        <w:rtl w:val="0"/>
      </w:rPr>
      <w:t xml:space="preserve">Izdrukāts 29.07.2026. 22.58 - 4.0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26-TA-488</w:t>
    </w:r>
    <w:r>
      <w:br/>
    </w:r>
    <w:r w:rsidR="00000000" w:rsidRPr="00000000" w:rsidDel="00000000">
      <w:rPr>
        <w:rtl w:val="0"/>
      </w:rPr>
      <w:t xml:space="preserve">Izdrukāts 29.07.2026. 22.58 - 4.0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anotācija_(ex_ante)_26-TA-488.docx</dc:title>
</cp:coreProperties>
</file>

<file path=docProps/custom.xml><?xml version="1.0" encoding="utf-8"?>
<Properties xmlns="http://schemas.openxmlformats.org/officeDocument/2006/custom-properties" xmlns:vt="http://schemas.openxmlformats.org/officeDocument/2006/docPropsVTypes"/>
</file>