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19. oktobra noteikumos Nr. 693 "Būvju vispārīgo prasību būvnormatīvs LBN 200-21""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 nepieciešama Eiropas Parlamenta un Padomes 2024. gada 24. aprīļa direktīvā (ES) Nr. 2024/1275 par ēku energoefektivitāti (turpmāk - Direktīva Nr. 2024/1275) noteikto jaunu ēku un esošu ēku pārbūves prasību pārņemšanai.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normatīvajā regulējumā Direktīvas Nr. 2024/1275 vispārīgās prasības jaunu ēku projektēšanai un esošu ēku pārbūves projektēšanai.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2024/1275 35. panta 1.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2024.gada 24.aprīlī apstiprināja jauno Direktīvu Nr. 2024/1275.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likumdošanā nav iekļautas Direktīvas Nr.2024/1275 normas, kas attiecināmas un jaunām ēkām vai to pārbūvi. Šādas normas ir piederīgas regulējumam, kas nosaka minimālās tehniskās prasības jaunu būvju būvniecībai vai to pārbūvei, proti, Ministru kabineta 2021. gada 19. oktobra noteikumiem Nr. 693 "Būvju vispārīgo prasību būvnormatīvs LBN 200-21".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nacionālajā likumdošanā (Ministru kabineta 2021. gada 19. oktobra noteikumos Nr. 693 "Būvju vispārīgo prasību būvnormatīvs LBN 200-21") iekļaut Direktīvas Nr.2024/1275 normas, kas attiecās un jaunām ēkām vai to pārbūvi.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paskaidrojam, ka Direktīvas Nr.2024/1275 10.panta ceturtajā daļu, cik tālu tā attiecās uz gadījumiem, kad pieļaujams atkāpties no attiecīgā panta prasībām, risina Būvniecības likuma 9.</w:t>
      </w:r>
      <w:r w:rsidR="00000000" w:rsidRPr="00000000" w:rsidDel="00000000">
        <w:rPr>
          <w:vertAlign w:val="superscript"/>
          <w:rtl w:val="0"/>
        </w:rPr>
        <w:t xml:space="preserve">1</w:t>
      </w:r>
      <w:r w:rsidR="00000000" w:rsidRPr="00000000" w:rsidDel="00000000">
        <w:rPr>
          <w:rtl w:val="0"/>
        </w:rPr>
        <w:t xml:space="preserve"> panta devītā daļa. Minētais nozīmē, ka attiecīgo pamatojumu iekļaujot būvniecības ieceres dokumentācijā atkāpes no tiek pieļautas energoefektivitātes jomā, tajā skaitā saules enerģijas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uzlādes punktram noteiktās prasības par uzlādes punkta ekspluatāciju, balstoties uz bezīpašnieka un nediskriminējošiem sakaru protokoliem un standartiem, ir skatāmas kontekstā ar Regulas (ES) 2023/1804 21. panta 2. un 3. punktu, kā arī regulējumu Ministru kabineta 2018. gada 6. februāra noteikumos Nr. 78 "Prasības elektrotransportlīdzekļu uzlādes, dabasgāzes uzpildes, ūdeņraža uzpildes un krasta elektropadeves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likumdošanā nav iekļautas Regula (ES) 2024/3110 izvirzīta pamatprasība būvju projektēšanā un to izmaiņu projektēšanā ņemt vērā būvju emisiju āra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nacionālajā likumdošanā (Ministru kabineta 2021. gada 19. oktobra noteikumos Nr. 693 "Būvju vispārīgo prasību būvnormatīvs LBN 200-21") iekļaut Regula (ES) 2024/3110 noteiktu pamatprasību būvju un to izmaiņu prjektēšanā ņemt vērā būvju emisiju āra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regulu ar būvju emisiju āra vidē ir saprotama šāda prasība: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"Būves un to daļas projektē, būvē, izmanto, uztur un izjauc vai nojauc tā, lai tās visā to aprites ciklā neradītu risku āra videi, ko izraisa kāds no šiem faktoriem:</w:t>
      </w:r>
      <w:r w:rsidR="00000000" w:rsidRPr="00000000" w:rsidDel="00000000">
        <w:rPr>
          <w:i w:val="1"/>
          <w:rtl w:val="0"/>
        </w:rPr>
        <w:t xml:space="preserve">a) bīstamu vielu, mikroplastmasas vai starojuma izdalīšanās gaisā, pazemes ūdeņos, jūras vai virszemes ūdeņos vai augsnē;</w:t>
      </w:r>
      <w:r w:rsidR="00000000" w:rsidRPr="00000000" w:rsidDel="00000000">
        <w:rPr>
          <w:i w:val="1"/>
          <w:rtl w:val="0"/>
        </w:rPr>
        <w:t xml:space="preserve">b) notekūdeņu nepareiza novadīšana, dūmgāzu emisija vai cietu vai šķidru atkritumu neparedzēta izdalīšanās āra vidē;</w:t>
      </w:r>
      <w:r w:rsidR="00000000" w:rsidRPr="00000000" w:rsidDel="00000000">
        <w:rPr>
          <w:i w:val="1"/>
          <w:rtl w:val="0"/>
        </w:rPr>
        <w:t xml:space="preserve">c)ēkas bojājumi, tostarp kaitējums, ko rada ūdenī esošu kontaminantu pārnese uz ēkas pamatiem;</w:t>
      </w:r>
      <w:r w:rsidR="00000000" w:rsidRPr="00000000" w:rsidDel="00000000">
        <w:rPr>
          <w:i w:val="1"/>
          <w:rtl w:val="0"/>
        </w:rPr>
        <w:t xml:space="preserve">d) siltumnīcefekta gāzu emisiju nonākšana atmosfērā."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nozares profesionāļi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īpašnieki un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ietekmētās sabiedrības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Būvniecības nozares profesionāļi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 jāņem vērā jaunas prasības par energoefektivitāti, saules enerģijas izmantošanu, viedajām ēku sistēmām, emisiju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Būvnieki – jāievēro jaunas tehniskās prasības, īpaši attiecībā uz bezemisiju ēkām, uzlādes punktiem, velosipēdu stāvvietām.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Būvuzraugi, būvvaldes – jāuzrauga un jānodrošina normu ievērošana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Ēku īpašnieki un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 un uzņēmumi – ja tiek būvētas vai būtiski atjaunotas dzīvojamās vai nedzīvojamās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 uzlabota iekštelpu vides kvalitāte, veselības un komforta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 – uzlabota vides pieejamība, jo minimālās tehniskās prasības kļūst saistošas arī nozīmīgas atjaunošanas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Transporta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Velosipēdisti un elektrotransportlīdzekļu lietotāji – tiek noteiktas prasības velosipēdu stāvvietām un elektroauto uzlādes punktiem.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būvniecību saistītie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struktūru īpašnieki (valsts,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elektrotransporta un velosipēdu izmantošanu saistītie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Būvniecības nozares profesionāļi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 jāņem vērā jaunas prasības par energoefektivitāti, saules enerģijas izmantošanu, viedajām ēku sistēmām, emisiju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Būvnieki – jāievēro jaunas tehniskās prasības, īpaši attiecībā uz bezemisiju ēkām, uzlādes punktiem, velosipēdu stāvvietām.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Būvuzraugi, būvvaldes – jāuzrauga un jānodrošina normu ievērošana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Ēku īpašnieki un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struktūru īpašnieki (valsts, pašvaldības) – īpaši attiecas uz publiskām ēkām, kurām jāatbilst bezemisiju un energoefektivitātes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 un uzņēmumi – ja tiek būvētas vai būtiski atjaunotas dzīvojamās vai nedzīvojamās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 uzlabota iekštelpu vides kvalitāte, veselības un komforta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 – uzlabota vides pieejamība, jo minimālās tehniskās prasības kļūst saistošas arī nozīmīgas atjaunošanas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Transporta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Velosipēdisti un elektrotransportlīdzekļu lietotāji – tiek noteiktas prasības velosipēdu stāvvietām un elektroauto uzlādes punktiem.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2015. gada 9. jūnija noteikumos Nr. 294 "Noteikumi par Latvijas būvnormatīvu LBN 261-15 "Ēku iekšējā elektroinstalācija""  (25-TA-1257)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Direktīvai Nr. 2024/1275, nosaka saistītās minimālās tehniskās prasības jaunu ēku un esošu ēku iekšējās elektroinstalācijas projektēšanai.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2015. gada 16. jūnija noteikumos Nr. 310 "Noteikumi par Latvijas būvnormatīvu LBN 231-15 "Dzīvojamo un publisko ēku apkure un ventilācija"" (25-TA-1380)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Direktīvai Nr. 2024/1275, nosaka saistītās minimālās tehniskās prasības jaunu ēku un esošu ēku pārbūves projektēšanai ēkas apkures un ventilācijas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Ēku ekspluatācijas noteikumi energoefektivitātes jomā (25-TA-329)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Direktīvai Nr. 2024/1275, nosaka saistītās prasības par ēku ekspluatāciju energoefektivitātes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Nr. 2024/1275 par ēku energoefektivitāti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2024. gada 24. aprīļa Direktīva (ES) Nr. 2024/1275 par ēku energoefektivitāti preambulas 83.punktam, projekta ietvaros transponētas tikai tās normas, kas ieviestas pilnībā no jauna vai kurām no iepriekš transponētajām normām ir veiktas izmaiņas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32024R3110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2024/3110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1.pielikums nosaka būvēm izvirzītās pamatprasības, starp kurām ir arī prasības par būvju emisiju āra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24. aprīļa Direktīva (ES) Nr. 2024/1275 par ēku energoefektivitāti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22.punks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būvnormatīvs nosaka prasības jaunām ēkām vai to pārbūvēm. Attiecīgi tiek pārņemta tā daļa, kas attiecās uz nozīmīgu renovāciju. Daļu, kas attiecībā uz esošām ēkām, pārņems cits normatīvais akts būvju ekspluatācijas jomā. Dzīnojamām ēkām prasība netiek noteikta kā obligāta.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2024/3110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Direktīvā Nr. 2024/1275 noteiktās vispārīgās prasības jaunu ēku projektēšanai un esošu ēku pārbūves projektēšanai.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minimālās tehniskās prasības vides pieejamības jomā nosaka kā saistošas as arī ēkām, kurās veic nozīmīgu atjaunošanu pieejamība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25-TA-1187</w:t>
    </w:r>
    <w:r>
      <w:br/>
    </w:r>
    <w:r w:rsidR="00000000" w:rsidRPr="00000000" w:rsidDel="00000000">
      <w:rPr>
        <w:rtl w:val="0"/>
      </w:rPr>
      <w:t xml:space="preserve">Izdrukāts 29.07.2026. 23.22 - 2.0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25-TA-1187</w:t>
    </w:r>
    <w:r>
      <w:br/>
    </w:r>
    <w:r w:rsidR="00000000" w:rsidRPr="00000000" w:rsidDel="00000000">
      <w:rPr>
        <w:rtl w:val="0"/>
      </w:rPr>
      <w:t xml:space="preserve">Izdrukāts 29.07.2026. 23.22 - 2.0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anotācija_(ex_ante)_25-TA-1187.docx</dc:title>
</cp:coreProperties>
</file>

<file path=docProps/custom.xml><?xml version="1.0" encoding="utf-8"?>
<Properties xmlns="http://schemas.openxmlformats.org/officeDocument/2006/custom-properties" xmlns:vt="http://schemas.openxmlformats.org/officeDocument/2006/docPropsVTypes"/>
</file>