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19. oktobra noteikumos Nr. 693 "Būvju vispārīgo prasību būvnormatīvs LBN 200-21""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nepieciešama Eiropas Parlamenta un Padomes 2024. gada 24. aprīļa Direktīvā 2024/1275 par ēku energoefektivitāti (turpmāk - Direktīva 2024/1275) noteikto jaunu ēku un esošu ēku pārbūves prasību pārņemšanai.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kāpināt Latvijas ēku energoerfektivitāti, sniedzot iedzīvotājiem tiešus ekonomiskos u.c. ieguvumus. Noteikumi veicinās saules enerģijas izmantošanu un citu sistēmu ierīkošanu, kas ilgtermiņā samazinās ēku uzturēšanas izmaksas. Plašākā mērogā tiks attīstīta sabiedrībai pieejama infrastruktūra (elektroauto uzlādes punkti un velostāvvietas), sekmējot mūsdienīgu mobilitāti, vienlaikus pievēršoties un uzlabojot vides pieejamību radot veselīgāku un klimatneitrālāku būvēto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2024/1275 nosaka vēl netransponētas prasības jaunu ēku projektēšanai un pārbūvju projektēšanai. Noteikumu projekts ir viens no nacionālo tiesību aktu kopuma, Direktīvas 2024/1275 pilnīgas pārņemšanas nodrošināšanai, jeb transponēšanai.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likumdošanā nav iekļautas Direktīvas 2024/1275 prasības, kas attiecināmas un jaunām ēkām vai to pārbūvi. Šādas normas ir piederīgas regulējumam, kas nosaka minimālās tehniskās prasības jaunu būvju būvniecībai vai to pārbūvei, proti, Ministru kabineta 2021. gada 19. oktobra noteikumiem Nr. 693 "Būvju vispārīgo prasību būvnormatīvs LBN 200-21" (turpmāk - LBN 200-21).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nacionālajā likumdošanā (LBN 200-21) iekļaut Direktīvas 2024/1275 prasības, kas attiecās un jaunām ēkām vai to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paskaidrojam, ka Direktīvas 2024/1275 10.panta ceturtajā daļā minēto, cik tālu tā attiecās uz gadījumiem, kad pieļaujams atkāpties no attiecīgā panta prasībām, risina Būvniecības likuma 9.</w:t>
      </w:r>
      <w:r w:rsidR="00000000" w:rsidRPr="00000000" w:rsidDel="00000000">
        <w:rPr>
          <w:vertAlign w:val="superscript"/>
          <w:rtl w:val="0"/>
        </w:rPr>
        <w:t xml:space="preserve">1</w:t>
      </w:r>
      <w:r w:rsidR="00000000" w:rsidRPr="00000000" w:rsidDel="00000000">
        <w:rPr>
          <w:rtl w:val="0"/>
        </w:rPr>
        <w:t xml:space="preserve"> panta devītā daļa. Minētais nozīmē, ka attiecīgo pamatojumu iekļaujot būvniecības ieceres dokumentācijā atkāpes tiek pieļautas energoefektivitātes jomā, tajā skaitā saules enerģijas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2024/1275 sasaisti ar Direktīvu 2010/31 un tajā lietotajiem terminiem, kas saistīti arī ar Regulā 2024/1309 izmantoto terminoloģiju, visu minēto regulējumu kontekstā termins "renovācija" kā arī "nozīmīga renovācija" un "pamatīga renovācija" saskaņā ar Būvniecības likuma pārejas noteikumu 7. punktu nacionālajā (Latvijas) regulējumā ir tas pats, kas "atjaunošana", tātad, attiecīgajā kontekstā ir "nozīmīga atjaunošana" vai "pamatīga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3.43.apakšpunktā noteikt definīciju: </w:t>
      </w:r>
      <w:r w:rsidR="00000000" w:rsidRPr="00000000" w:rsidDel="00000000">
        <w:rPr>
          <w:i w:val="1"/>
          <w:rtl w:val="0"/>
        </w:rPr>
        <w:t xml:space="preserve">"pamatīga atjaunošana – ēkas atjaunošana atbilstoši principam “energoefektivitāte pirmajā vietā” un koncentrējas uz būtiskiem ēkas elementiem, lai ēka vai ēkas daļa atbilst prasībām par gandrīz nulles enerģijas ēku. Pēc 2030. gada 1. janvāra tā ir ēkas atjaunošana, lai ēka vai tās daļa atbilst prasībām par bezemisiju ēku"</w:t>
      </w:r>
      <w:r w:rsidR="00000000" w:rsidRPr="00000000" w:rsidDel="00000000">
        <w:rPr>
          <w:rtl w:val="0"/>
        </w:rPr>
        <w:t xml:space="preserve">. Definīcijā minētie būtiskie ēkas elementi ir visi ēkas sastāvā esošie risinājumi, konstrukcijas un sistēmas, kam ir vērā ņemama ietekme uz ēkas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6.</w:t>
      </w:r>
      <w:r w:rsidR="00000000" w:rsidRPr="00000000" w:rsidDel="00000000">
        <w:rPr>
          <w:vertAlign w:val="superscript"/>
          <w:rtl w:val="0"/>
        </w:rPr>
        <w:t xml:space="preserve">2</w:t>
      </w:r>
      <w:r w:rsidR="00000000" w:rsidRPr="00000000" w:rsidDel="00000000">
        <w:rPr>
          <w:rtl w:val="0"/>
        </w:rPr>
        <w:t xml:space="preserve"> punktu: </w:t>
      </w:r>
      <w:r w:rsidR="00000000" w:rsidRPr="00000000" w:rsidDel="00000000">
        <w:rPr>
          <w:i w:val="1"/>
          <w:rtl w:val="0"/>
        </w:rPr>
        <w:t xml:space="preserve">"Jaunas ēkas projektē tā, lai optimizētu to saules enerģijas ražošanas potenciālu, balstoties uz saules apstarojumu objektā, lai izmakslietderīgā veidā varētu uzstādīt saules enerģijas tehnoloģijas".</w:t>
      </w:r>
      <w:r w:rsidR="00000000" w:rsidRPr="00000000" w:rsidDel="00000000">
        <w:rPr>
          <w:rtl w:val="0"/>
        </w:rPr>
        <w:t xml:space="preserve"> Minētais regulējums nozīmē, ka jaunas ēkas projektē kā saules enerģijas risinājumiem piemērojamu, proti, ar attiecīgu konstrukciju nestspēju, piemērotu jumta slīpumu un orientāciju, ņemot vērā fasāžu integrācijas risinājumus, jumta vietas rezervi un saistītās infrastruktūras (piemēram, jau paredzot kabeļu šahtas) gatavību saules enerģijas risinājuma uzstādīšanai arī tad, ja saules risinājuma uzstādīšanu neparedz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w:t>
      </w:r>
      <w:r w:rsidR="00000000" w:rsidRPr="00000000" w:rsidDel="00000000">
        <w:rPr>
          <w:vertAlign w:val="superscript"/>
          <w:rtl w:val="0"/>
        </w:rPr>
        <w:t xml:space="preserve">2</w:t>
      </w:r>
      <w:r w:rsidR="00000000" w:rsidRPr="00000000" w:rsidDel="00000000">
        <w:rPr>
          <w:rtl w:val="0"/>
        </w:rPr>
        <w:t xml:space="preserve"> punktā noteiktās prasības (par jaunas ēkas projektēšanu tā, lai optimizētu  saules enerģijas ražošanas potenciālu) atkāpes ir iespējamas to pamatojot vispārējā kārtībā. T.i.  Būvniecības likuma 9.</w:t>
      </w:r>
      <w:r w:rsidR="00000000" w:rsidRPr="00000000" w:rsidDel="00000000">
        <w:rPr>
          <w:vertAlign w:val="superscript"/>
          <w:rtl w:val="0"/>
        </w:rPr>
        <w:t xml:space="preserve">1</w:t>
      </w:r>
      <w:r w:rsidR="00000000" w:rsidRPr="00000000" w:rsidDel="00000000">
        <w:rPr>
          <w:rtl w:val="0"/>
        </w:rPr>
        <w:t xml:space="preserve">panta devītajā daļā noteiktajā kārtībā attiecīgo pamatojumu iekļaujot būvniecības ieceres dokumentācijā vai to pievienojot pie attiecīgās dokumentācijas.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6</w:t>
      </w:r>
      <w:r w:rsidR="00000000" w:rsidRPr="00000000" w:rsidDel="00000000">
        <w:rPr>
          <w:rtl w:val="0"/>
        </w:rPr>
        <w:t xml:space="preserve">3. apakšpunktā noteikt prasības velosipēdu stāvvietu skaitam ņemot vērā ēkas kopējās lietotāju kapacitāti. Šajā kontekstā ar kopējo lietotāju kapacitāti saprotams maksimālais cilvēku skaits, kas var droši un ērti apdzīvot vai izmantot ēku. Šis skaits ir cilvēku skaita augšējā robeža saskaņā ar būvnormatīviem, ugunsdrošības jomas regulējumu un citiem noteikumiem arī ēku ekspluatācijas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prasības pašiem uzlādes punktiem. Precīzāk skaidrojot minētās prasības, norādām, ka tās skatāmas kontekstā ar Regulas (ES) 2023/1804 21. panta 2. un 3. punktu, kā arī regulējumu Ministru kabineta 2018. gada 6. februāra noteikumos Nr. 78 </w:t>
      </w:r>
      <w:r w:rsidR="00000000" w:rsidRPr="00000000" w:rsidDel="00000000">
        <w:rPr>
          <w:i w:val="1"/>
          <w:rtl w:val="0"/>
        </w:rPr>
        <w:t xml:space="preserve">"Prasības elektrotransportlīdzekļu uzlādes, dabasgāzes uzpildes, ūdeņraža uzpildes un krasta elektropadeves iekārtām"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19</w:t>
      </w:r>
      <w:r w:rsidR="00000000" w:rsidRPr="00000000" w:rsidDel="00000000">
        <w:rPr>
          <w:rtl w:val="0"/>
        </w:rPr>
        <w:t xml:space="preserve"> punktu: </w:t>
      </w:r>
      <w:r w:rsidR="00000000" w:rsidRPr="00000000" w:rsidDel="00000000">
        <w:rPr>
          <w:i w:val="1"/>
          <w:rtl w:val="0"/>
        </w:rPr>
        <w:t xml:space="preserve">"Ja šo noteikumu 130.</w:t>
      </w:r>
      <w:r w:rsidR="00000000" w:rsidRPr="00000000" w:rsidDel="00000000">
        <w:rPr>
          <w:i w:val="1"/>
          <w:vertAlign w:val="superscript"/>
          <w:rtl w:val="0"/>
        </w:rPr>
        <w:t xml:space="preserve">7</w:t>
      </w:r>
      <w:r w:rsidR="00000000" w:rsidRPr="00000000" w:rsidDel="00000000">
        <w:rPr>
          <w:i w:val="1"/>
          <w:rtl w:val="0"/>
        </w:rPr>
        <w:t xml:space="preserve">3.apakšpunktā minēto prasību par divām velosipēdu stāvvietām uz katru dzīvojamās ēkas vienību nozīmīgas atjaunošanas gadījumā nav iespējams izpildīt, tad paredz pēc iespējas vairāk velosipēdu stāvvietas vietu."</w:t>
      </w:r>
      <w:r w:rsidR="00000000" w:rsidRPr="00000000" w:rsidDel="00000000">
        <w:rPr>
          <w:rtl w:val="0"/>
        </w:rPr>
        <w:t xml:space="preserve">  Punktā minētais kritērijs </w:t>
      </w:r>
      <w:r w:rsidR="00000000" w:rsidRPr="00000000" w:rsidDel="00000000">
        <w:rPr>
          <w:i w:val="1"/>
          <w:rtl w:val="0"/>
        </w:rPr>
        <w:t xml:space="preserve">"pēc iespējas vairāk"</w:t>
      </w:r>
      <w:r w:rsidR="00000000" w:rsidRPr="00000000" w:rsidDel="00000000">
        <w:rPr>
          <w:rtl w:val="0"/>
        </w:rPr>
        <w:t xml:space="preserve"> piemērojams atbilstoši principam, kad paredz konkrētajai situācijai tehniski, funkcionāli un ekonomiski atbilstošāko velosipēdu stāvvietas skaitu, kas sabalansēts ar velosipēda stāvvietas tehnisko risinājumu. Velosipēdu stāvvietas tehnisko risinājumu (ēkā esoša telpa, ārpus ēkas esoša vieta zem jumta, pie ēkas iekšpusē vai ēkas ārpusē pie sienas stiprināta konstrukcija velosipēda novietošanai un pieslēgšanai, velosipēdu novietošanas iespējas vienā vai divos līmeņo (viens virs otra) u.tml.) noteikumu projekts nenosaka, līdz ar to, nozīmīgas atjaunošanas gadījumā gan velosipēda stāvvietas tehniskais risinājums, gan stāvvietu skaits nosakāms individuāli - izvēloties racionālāko un sabiedrības interesēm atbilstošāko risinājumu. Papildus vēršam uzmanību, ka minētais punkts pašā būvnormatīvā paredz noteikt situāciju, kurā atkāpe tiek pieļauta, tātad, nozīmīgas atjaunošanas gadījumā nav nepieciešams būvspeciālista sagatavots un būvprojektā iekļauts pamatojums par to, kādēļ velosipēdu stāvvietu skaits ir mazāks par skaitu, kādam būtu jābūt jaunas ēkas būvniecības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autostāvvietas teritorija ir slēgta  (klientiem, viesiem, apmeklētājiem u.tml. ir nepieejama), ir paredzēta tikai speciālas nozīmes, piemēram, tikai operatīvajam transportam vai militārajam transportam, kas pašlaik nav un nav plānots, ka pārredzamā nākotnē varētu būt elektrotransports, vai attiecīgā autostāvvieta atrodas pie valsts aizsardzības vai drošības iestādes ēkas vai kritiskās infrastruktūras objektiem vai citām ēkām, attiecībā uz kurām ir noteiktas paaugstinātas drošības prasības, kā rezultātā pie tām drošības apsvērumu dēļ nav atļauta vai ir ierobežota automašīnu novietošana, tad minētais ir uzskatāms par pamatotu argumentu, lai būvniecības ieceres izstrādātājs to attiecīgi pamatojot (saskaņā ar Būvniecības likuma 9.</w:t>
      </w:r>
      <w:r w:rsidR="00000000" w:rsidRPr="00000000" w:rsidDel="00000000">
        <w:rPr>
          <w:vertAlign w:val="superscript"/>
          <w:rtl w:val="0"/>
        </w:rPr>
        <w:t xml:space="preserve">1</w:t>
      </w:r>
      <w:r w:rsidR="00000000" w:rsidRPr="00000000" w:rsidDel="00000000">
        <w:rPr>
          <w:rtl w:val="0"/>
        </w:rPr>
        <w:t xml:space="preserve">panta devīto daļu) varētu atkāpties no prasības autostāvvietā paredzēt uzlādes punktu un kabeļu iepriekšēju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15</w:t>
      </w:r>
      <w:r w:rsidR="00000000" w:rsidRPr="00000000" w:rsidDel="00000000">
        <w:rPr>
          <w:rtl w:val="0"/>
        </w:rPr>
        <w:t xml:space="preserve">punktu, kas nosaka 11.</w:t>
      </w:r>
      <w:r w:rsidR="00000000" w:rsidRPr="00000000" w:rsidDel="00000000">
        <w:rPr>
          <w:vertAlign w:val="superscript"/>
          <w:rtl w:val="0"/>
        </w:rPr>
        <w:t xml:space="preserve">1</w:t>
      </w:r>
      <w:r w:rsidR="00000000" w:rsidRPr="00000000" w:rsidDel="00000000">
        <w:rPr>
          <w:rtl w:val="0"/>
        </w:rPr>
        <w:t xml:space="preserve"> nodaļā un 12.12. apakšnodaļā lietotā vārda </w:t>
      </w:r>
      <w:r w:rsidR="00000000" w:rsidRPr="00000000" w:rsidDel="00000000">
        <w:rPr>
          <w:i w:val="1"/>
          <w:rtl w:val="0"/>
        </w:rPr>
        <w:t xml:space="preserve">"ēka" </w:t>
      </w:r>
      <w:r w:rsidR="00000000" w:rsidRPr="00000000" w:rsidDel="00000000">
        <w:rPr>
          <w:rtl w:val="0"/>
        </w:rPr>
        <w:t xml:space="preserve">nozīmi. Tas tādēļ, ka Direktīvas 2024/1275 kontekstā</w:t>
      </w:r>
      <w:r w:rsidR="00000000" w:rsidRPr="00000000" w:rsidDel="00000000">
        <w:rPr>
          <w:i w:val="1"/>
          <w:rtl w:val="0"/>
        </w:rPr>
        <w:t xml:space="preserve"> "ēka"</w:t>
      </w:r>
      <w:r w:rsidR="00000000" w:rsidRPr="00000000" w:rsidDel="00000000">
        <w:rPr>
          <w:rtl w:val="0"/>
        </w:rPr>
        <w:t xml:space="preserve"> ir ar šaurāku nozīmi, nekā to nosaka Būvniecības likuma 11.pants. Minētais 130.</w:t>
      </w:r>
      <w:r w:rsidR="00000000" w:rsidRPr="00000000" w:rsidDel="00000000">
        <w:rPr>
          <w:vertAlign w:val="superscript"/>
          <w:rtl w:val="0"/>
        </w:rPr>
        <w:t xml:space="preserve">15</w:t>
      </w:r>
      <w:r w:rsidR="00000000" w:rsidRPr="00000000" w:rsidDel="00000000">
        <w:rPr>
          <w:rtl w:val="0"/>
        </w:rPr>
        <w:t xml:space="preserve">punkts ir nepieciešams, lai skaidri noteiktu būvnormatīvā noteikto energoefektivitātes jomas prasību sasaisti ar Ēku energoefektivitātes likuma 3.panta otro daļu, kas nosaka uz kādām ēkām attiecīgās prasības nav attiecināmas. Minētie izņēmumi izriet no Direktīvas 2024/1275 5.panta 1.punkta.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paziņojuma 9. pielikuma 4.1. punkts paredz, ka dalībvalstis var apsvērt iespēju paredzēt noteiktu elastību, izstrādājot savas prasības par uzlādes punktiem ēku kategorijai, kurai stāvvietas parasti tiek izmantotas uz lauku līdz divām stundām, piemēram, pie tirdzniecības ēkām. Minētā iespēja tiek izmantota noteikumu projektā [ar jaunu 130.22.punktu] nosakot iespēju kvantitatīvos rādītājus (uzlādes punktu skaitu) koriģēt (samazināt) to kompensējot ar kvalitatīvo rādītāju palielināšanu, proti, uzstādot lieljaudas uzlādes punktus. Minētā elastība paredz, ka vietās, kur lielāka uzlādes punktu jauda varētu būt efektīvāka un piemērotāja, ir jānodrošina tāda pati jauda, kādu nodrošinātu parastas jaudas uzlādes punkti, ja tie būtu ar 11kW jaudu. 11kW jauda parametrs izvēlēts divu faktoru dēļ - praksē to uzskata par parasto uzlādes punktu, savukārt parametru ziņā minētais lielums ir aptuveni pa vidu starp 3,7 kW un 22kW, kas ir galējās jaudas robežas uzlādes punktam, kas vēl neklasificējas kā lieljaudas uzlādes punkts [sk. Ministru kabineta 2018. gada 6. februāra noteikumu Nr. 78</w:t>
      </w:r>
      <w:r w:rsidR="00000000" w:rsidRPr="00000000" w:rsidDel="00000000">
        <w:rPr>
          <w:i w:val="1"/>
          <w:rtl w:val="0"/>
        </w:rPr>
        <w:t xml:space="preserve"> "Prasības elektrotransportlīdzekļu uzlādes, dabasgāzes uzpildes, ūdeņraža uzpildes un krasta elektropadeves iekārtām"</w:t>
      </w:r>
      <w:r w:rsidR="00000000" w:rsidRPr="00000000" w:rsidDel="00000000">
        <w:rPr>
          <w:rtl w:val="0"/>
        </w:rPr>
        <w:t xml:space="preserve"> 24. un 25.punktu].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vārds </w:t>
      </w:r>
      <w:r w:rsidR="00000000" w:rsidRPr="00000000" w:rsidDel="00000000">
        <w:rPr>
          <w:i w:val="1"/>
          <w:rtl w:val="0"/>
        </w:rPr>
        <w:t xml:space="preserve">"autostāvvieta"</w:t>
      </w:r>
      <w:r w:rsidR="00000000" w:rsidRPr="00000000" w:rsidDel="00000000">
        <w:rPr>
          <w:rtl w:val="0"/>
        </w:rPr>
        <w:t xml:space="preserve"> lietots tā vispārpieņemtajā nozīmē - </w:t>
      </w:r>
      <w:r w:rsidR="00000000" w:rsidRPr="00000000" w:rsidDel="00000000">
        <w:rPr>
          <w:i w:val="1"/>
          <w:rtl w:val="0"/>
        </w:rPr>
        <w:t xml:space="preserve">"[v]ieta, kas paredzēta automobiļu novietošanai; celtne automobiļu novietošanai" </w:t>
      </w:r>
      <w:r w:rsidR="00000000" w:rsidRPr="00000000" w:rsidDel="00000000">
        <w:rPr>
          <w:rtl w:val="0"/>
        </w:rPr>
        <w:t xml:space="preserve">[Mūsdienu latviešu valodas vārdnīca. LU Latviešu valodas institūts, kopš 2003]. Tātad, autostāvvieta var būt arī tikai ar līnijām marķēta vieta ēkā un tās sastāvā esošā telpu grupā, kā arī uz inženierbūves vai citā vietā. Ar vārdu </w:t>
      </w:r>
      <w:r w:rsidR="00000000" w:rsidRPr="00000000" w:rsidDel="00000000">
        <w:rPr>
          <w:i w:val="1"/>
          <w:rtl w:val="0"/>
        </w:rPr>
        <w:t xml:space="preserve">"autostāvvieta"</w:t>
      </w:r>
      <w:r w:rsidR="00000000" w:rsidRPr="00000000" w:rsidDel="00000000">
        <w:rPr>
          <w:rtl w:val="0"/>
        </w:rPr>
        <w:t xml:space="preserve"> nav jāsaprot tikai ēka, kā arī nav jāsaprot tikai telpu grupa ēkā vai inženierbūvē, kā arī nav tikai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vārdi </w:t>
      </w:r>
      <w:r w:rsidR="00000000" w:rsidRPr="00000000" w:rsidDel="00000000">
        <w:rPr>
          <w:i w:val="1"/>
          <w:rtl w:val="0"/>
        </w:rPr>
        <w:t xml:space="preserve">"dzīvojamās ēkas vienība"</w:t>
      </w:r>
      <w:r w:rsidR="00000000" w:rsidRPr="00000000" w:rsidDel="00000000">
        <w:rPr>
          <w:rtl w:val="0"/>
        </w:rPr>
        <w:t xml:space="preserve"> lietots nozīmē, kā to paredz Direktīva 2024/1275, proti, tā </w:t>
      </w:r>
      <w:r w:rsidR="00000000" w:rsidRPr="00000000" w:rsidDel="00000000">
        <w:rPr>
          <w:i w:val="1"/>
          <w:rtl w:val="0"/>
        </w:rPr>
        <w:t xml:space="preserve">"[..] ir ēkas sekcija, stāvs vai dzīvoklis, kas projektēta vai pielāgota patstāvīgai izmantošanai"</w:t>
      </w:r>
      <w:r w:rsidR="00000000" w:rsidRPr="00000000" w:rsidDel="00000000">
        <w:rPr>
          <w:rtl w:val="0"/>
        </w:rPr>
        <w:t xml:space="preserve">. Šo definīciju </w:t>
      </w:r>
      <w:r w:rsidR="00000000" w:rsidRPr="00000000" w:rsidDel="00000000">
        <w:rPr>
          <w:i w:val="1"/>
          <w:rtl w:val="0"/>
        </w:rPr>
        <w:t xml:space="preserve">"ēkas vienība" </w:t>
      </w:r>
      <w:r w:rsidR="00000000" w:rsidRPr="00000000" w:rsidDel="00000000">
        <w:rPr>
          <w:rtl w:val="0"/>
        </w:rPr>
        <w:t xml:space="preserve">paredzēts transponēt ar grozījumiem Ēku energoefektivitātes likumā. Ēkas "vienības tvērums" ir plašāks par termina </w:t>
      </w:r>
      <w:r w:rsidR="00000000" w:rsidRPr="00000000" w:rsidDel="00000000">
        <w:rPr>
          <w:i w:val="1"/>
          <w:rtl w:val="0"/>
        </w:rPr>
        <w:t xml:space="preserve">"dzīvoklis"</w:t>
      </w:r>
      <w:r w:rsidR="00000000" w:rsidRPr="00000000" w:rsidDel="00000000">
        <w:rPr>
          <w:rtl w:val="0"/>
        </w:rPr>
        <w:t xml:space="preserve"> vai </w:t>
      </w:r>
      <w:r w:rsidR="00000000" w:rsidRPr="00000000" w:rsidDel="00000000">
        <w:rPr>
          <w:i w:val="1"/>
          <w:rtl w:val="0"/>
        </w:rPr>
        <w:t xml:space="preserve">"telpu grupa"</w:t>
      </w:r>
      <w:r w:rsidR="00000000" w:rsidRPr="00000000" w:rsidDel="00000000">
        <w:rPr>
          <w:rtl w:val="0"/>
        </w:rPr>
        <w:t xml:space="preserve">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vārdi </w:t>
      </w:r>
      <w:r w:rsidR="00000000" w:rsidRPr="00000000" w:rsidDel="00000000">
        <w:rPr>
          <w:i w:val="1"/>
          <w:rtl w:val="0"/>
        </w:rPr>
        <w:t xml:space="preserve">"mazas jumta vēja turbīnas"</w:t>
      </w:r>
      <w:r w:rsidR="00000000" w:rsidRPr="00000000" w:rsidDel="00000000">
        <w:rPr>
          <w:rtl w:val="0"/>
        </w:rPr>
        <w:t xml:space="preserve"> lietots ar nozīmi, ka tā ir uz ēkas jumta esoša iekārta, kuras saražotā enerģija paredzēta konkrētās ēkas vajadzībām, tātad, tā nav atsevišķa būve, proti, tas nav tornis, jeb vēja turbīnu elektrostacija, kurās gondola ar rotora spārniem balstās uz speciāli izbūvēta torņa. Noteikumu projektā minētā jumta vēja turbīna saskaņā ar Ministru kabineta 2018. gada 12. jūnija noteikumu Nr. 326 </w:t>
      </w:r>
      <w:r w:rsidR="00000000" w:rsidRPr="00000000" w:rsidDel="00000000">
        <w:rPr>
          <w:i w:val="1"/>
          <w:rtl w:val="0"/>
        </w:rPr>
        <w:t xml:space="preserve">"Būvju klasifikācijas noteikumi"</w:t>
      </w:r>
      <w:r w:rsidR="00000000" w:rsidRPr="00000000" w:rsidDel="00000000">
        <w:rPr>
          <w:rtl w:val="0"/>
        </w:rPr>
        <w:t xml:space="preserve"> pielikumu nav klasificējama kā būve. Vairākas minētās iekārtas nav arī </w:t>
      </w:r>
      <w:r w:rsidR="00000000" w:rsidRPr="00000000" w:rsidDel="00000000">
        <w:rPr>
          <w:i w:val="1"/>
          <w:rtl w:val="0"/>
        </w:rPr>
        <w:t xml:space="preserve">"vēja parks"</w:t>
      </w:r>
      <w:r w:rsidR="00000000" w:rsidRPr="00000000" w:rsidDel="00000000">
        <w:rPr>
          <w:rtl w:val="0"/>
        </w:rPr>
        <w:t xml:space="preserve">, kas definēts Ministru kabineta 2013. gada 30. aprīļa noteikumos Nr. 240 </w:t>
      </w:r>
      <w:r w:rsidR="00000000" w:rsidRPr="00000000" w:rsidDel="00000000">
        <w:rPr>
          <w:i w:val="1"/>
          <w:rtl w:val="0"/>
        </w:rPr>
        <w:t xml:space="preserve">"Vispārīgie teritorijas plānošanas, izmantošanas un apbūves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26 </w:t>
      </w:r>
      <w:r w:rsidR="00000000" w:rsidRPr="00000000" w:rsidDel="00000000">
        <w:rPr>
          <w:rtl w:val="0"/>
        </w:rPr>
        <w:t xml:space="preserve">punktu, proti, ka nedzīvojamo ēku uzlādes punktu ierīkošanas un kabeļu iepriekšējas ierīkošanas prasības</w:t>
      </w:r>
      <w:r w:rsidR="00000000" w:rsidRPr="00000000" w:rsidDel="00000000">
        <w:rPr>
          <w:i w:val="1"/>
          <w:rtl w:val="0"/>
        </w:rPr>
        <w:t xml:space="preserve"> "[..]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Minētais izņēmums attiecībā uz autostāvvietām, kas atrodas pie publiskā sektora subjektu ēkām, kuras pamatā savu funkciju un uzdevumu izpildei izmanto operatīvie dienesti vai militārais dienests, attiecībā uz kuru lietošanā esošo autotransportu Eiropas Parlamenta un Padomes Regulā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noteikts izņēmums par tīrā autotransporta izmantošanu, ir atzīstams par objektīvi pamatotu argumentu tam, lai attiecībā uz attiecīgajām autostāvvietām tiktu piemērota atkāpe no prasības autostāvvietā paredzēt uzlādes punktu, kā arī veikt kabeļu un kabeļkanālu iepriekšēju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minēto vārdu </w:t>
      </w:r>
      <w:r w:rsidR="00000000" w:rsidRPr="00000000" w:rsidDel="00000000">
        <w:rPr>
          <w:i w:val="1"/>
          <w:rtl w:val="0"/>
        </w:rPr>
        <w:t xml:space="preserve">"ekonimiski pamatoti"</w:t>
      </w:r>
      <w:r w:rsidR="00000000" w:rsidRPr="00000000" w:rsidDel="00000000">
        <w:rPr>
          <w:rtl w:val="0"/>
        </w:rPr>
        <w:t xml:space="preserve"> nozīme ir vērtējama kā atmaksāšanās periods līdz desmit gadiem. Papildus minams, ka saskaņā ar </w:t>
      </w:r>
      <w:r w:rsidR="00000000" w:rsidRPr="00000000" w:rsidDel="00000000">
        <w:rPr>
          <w:i w:val="1"/>
          <w:rtl w:val="0"/>
        </w:rPr>
        <w:t xml:space="preserve">Eiropas komisijas paziņojumu, kurā sniegti norādījumi par jauniem vai būtiski grozītiem pārstrādātās Ēku energosnieguma direktīvas (ES) 2024/1275 noteikumiem</w:t>
      </w:r>
      <w:r w:rsidR="00000000" w:rsidRPr="00000000" w:rsidDel="00000000">
        <w:rPr>
          <w:rtl w:val="0"/>
        </w:rPr>
        <w:t xml:space="preserve"> pie prasība aattiecīgajā kontekstā ir saistoša, ja vien īpašnieks neiesniedz pētījumu, kurā konstatēts, ka tās ierīkošana nav iespējama, jo ieguldījums neradīs peļņu laikposmā, kas ir mazāks par desmit gadiem. Minētais atbilst pamatojumam,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saskaņā ar Būvniecības likuma 9.</w:t>
      </w:r>
      <w:r w:rsidR="00000000" w:rsidRPr="00000000" w:rsidDel="00000000">
        <w:rPr>
          <w:vertAlign w:val="superscript"/>
          <w:rtl w:val="0"/>
        </w:rPr>
        <w:t xml:space="preserve">1</w:t>
      </w:r>
      <w:r w:rsidR="00000000" w:rsidRPr="00000000" w:rsidDel="00000000">
        <w:rPr>
          <w:rtl w:val="0"/>
        </w:rPr>
        <w:t xml:space="preserve">pantā noteikto kārtību būtu uzskatāms par individuālu pamatojumu atkāpei no konkrētās būvnormatīvā noteiktās prasības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130.</w:t>
      </w:r>
      <w:r w:rsidR="00000000" w:rsidRPr="00000000" w:rsidDel="00000000">
        <w:rPr>
          <w:vertAlign w:val="superscript"/>
          <w:rtl w:val="0"/>
        </w:rPr>
        <w:t xml:space="preserve">20</w:t>
      </w:r>
      <w:r w:rsidR="00000000" w:rsidRPr="00000000" w:rsidDel="00000000">
        <w:rPr>
          <w:rtl w:val="0"/>
        </w:rPr>
        <w:t xml:space="preserve"> punktā minēto gadījumu kopsakarības, papildus jāpiemin, ka, ja ēka tiek ekspluatēta ar būtiskiem pārtraukumiem (piemēram, ēka netiek ekspluatēta vairākus mēnešus vasaras laikā), tad arī šādā gadījumā būtu vērtējams saules enerģijas risinājumu ekonomiskais pamatojums, kuru jau paredz vērtēt 130.</w:t>
      </w:r>
      <w:r w:rsidR="00000000" w:rsidRPr="00000000" w:rsidDel="00000000">
        <w:rPr>
          <w:vertAlign w:val="superscript"/>
          <w:rtl w:val="0"/>
        </w:rPr>
        <w:t xml:space="preserve">20</w:t>
      </w:r>
      <w:r w:rsidR="00000000" w:rsidRPr="00000000" w:rsidDel="00000000">
        <w:rPr>
          <w:rtl w:val="0"/>
        </w:rPr>
        <w:t xml:space="preserve">7.2. apakšpunkts. Minēto iemeslu dēļ noteikumu projekts neparedz agrākās noteikumu projekta redakcijās iekļautu kritēriju par ēkas ekspluatāciju "ar būtiskiem pārtraukumiem", tādā veidā nodrošinot skaidrāku regulējumu un tā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"nozīmīga atjaunošana"</w:t>
      </w:r>
      <w:r w:rsidR="00000000" w:rsidRPr="00000000" w:rsidDel="00000000">
        <w:rPr>
          <w:rtl w:val="0"/>
        </w:rPr>
        <w:t xml:space="preserve"> definīciju papildus paskaidrojam, ka Direktīvas 2024/1275 2. panta 22. punkta b) apakšpunkts nosaka, ka "</w:t>
      </w:r>
      <w:r w:rsidR="00000000" w:rsidRPr="00000000" w:rsidDel="00000000">
        <w:rPr>
          <w:i w:val="1"/>
          <w:rtl w:val="0"/>
        </w:rPr>
        <w:t xml:space="preserve">nozīmīga atjaunošana"</w:t>
      </w:r>
      <w:r w:rsidR="00000000" w:rsidRPr="00000000" w:rsidDel="00000000">
        <w:rPr>
          <w:rtl w:val="0"/>
        </w:rPr>
        <w:t xml:space="preserve"> ir vienkārši, ja </w:t>
      </w:r>
      <w:r w:rsidR="00000000" w:rsidRPr="00000000" w:rsidDel="00000000">
        <w:rPr>
          <w:i w:val="1"/>
          <w:rtl w:val="0"/>
        </w:rPr>
        <w:t xml:space="preserve">"renovāciju veic vairāk nekā 25 % norobežojošās konstrukcijas virsmas"</w:t>
      </w:r>
      <w:r w:rsidR="00000000" w:rsidRPr="00000000" w:rsidDel="00000000">
        <w:rPr>
          <w:rtl w:val="0"/>
        </w:rPr>
        <w:t xml:space="preserve">, bet projektā papildus uzsvērts, ka tai jābūt ar </w:t>
      </w:r>
      <w:r w:rsidR="00000000" w:rsidRPr="00000000" w:rsidDel="00000000">
        <w:rPr>
          <w:i w:val="1"/>
          <w:rtl w:val="0"/>
        </w:rPr>
        <w:t xml:space="preserve">"ēkas energoefektivitāti saistītai ēkas atjaunošanai"</w:t>
      </w:r>
      <w:r w:rsidR="00000000" w:rsidRPr="00000000" w:rsidDel="00000000">
        <w:rPr>
          <w:rtl w:val="0"/>
        </w:rPr>
        <w:t xml:space="preserve">. Iemesls definīcijā papildus iekļautajai norādei uz atjaunošanu, kas saistīta ar ēkas energoefektivitāti, izriet no tā, ka Būvniecības likums ar terminu </w:t>
      </w:r>
      <w:r w:rsidR="00000000" w:rsidRPr="00000000" w:rsidDel="00000000">
        <w:rPr>
          <w:i w:val="1"/>
          <w:rtl w:val="0"/>
        </w:rPr>
        <w:t xml:space="preserve">"atjaunošana" </w:t>
      </w:r>
      <w:r w:rsidR="00000000" w:rsidRPr="00000000" w:rsidDel="00000000">
        <w:rPr>
          <w:rtl w:val="0"/>
        </w:rPr>
        <w:t xml:space="preserve">nosaka plašāku būvdarbu tvērumu, nekā tas izriet no Direktīvas 2024/1275 konteksta. Būvniecības likums atjaunošanu nosaka arī darbus, kad bez saistības ar energoefektivitātes jomu tiek veikti funkcionāli vai tehniski uzlabojumi. Papildinājums definīcijā ir nepieciešams, lai nenozīmīgi un ar energoefektivitāti nesaistīti, piemēram, krāsošanas darbi neizraisītu "</w:t>
      </w:r>
      <w:r w:rsidR="00000000" w:rsidRPr="00000000" w:rsidDel="00000000">
        <w:rPr>
          <w:i w:val="1"/>
          <w:rtl w:val="0"/>
        </w:rPr>
        <w:t xml:space="preserve">domino efektu"</w:t>
      </w:r>
      <w:r w:rsidR="00000000" w:rsidRPr="00000000" w:rsidDel="00000000">
        <w:rPr>
          <w:rtl w:val="0"/>
        </w:rPr>
        <w:t xml:space="preserve"> prasību piemērošanā, kā rezultātā fasādes nokrāsošana būtu pieļaujama tikai tad, ja ierīko uzlādes punktus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i w:val="1"/>
          <w:rtl w:val="0"/>
        </w:rPr>
        <w:t xml:space="preserve"> “autostāvvieta, kas atrodas fiziski blakus ēkai”</w:t>
      </w:r>
      <w:r w:rsidR="00000000" w:rsidRPr="00000000" w:rsidDel="00000000">
        <w:rPr>
          <w:rtl w:val="0"/>
        </w:rPr>
        <w:t xml:space="preserve"> definīciju papildus paskaidrojam, ka Direktīvas 2024/1275 2. panta 65. punktā (pārņemts Noteikumu 3.46. apakšpunktā) nav papildus piebilde,ka tā ir </w:t>
      </w:r>
      <w:r w:rsidR="00000000" w:rsidRPr="00000000" w:rsidDel="00000000">
        <w:rPr>
          <w:i w:val="1"/>
          <w:rtl w:val="0"/>
        </w:rPr>
        <w:t xml:space="preserve">"vieta blakus ēkai ar iekštelpu, kuras vides regulēšanu veic izmantojot enerģiju".</w:t>
      </w:r>
      <w:r w:rsidR="00000000" w:rsidRPr="00000000" w:rsidDel="00000000">
        <w:rPr>
          <w:rtl w:val="0"/>
        </w:rPr>
        <w:t xml:space="preserve"> Šāds papildinājums ir nepieciešams lai novērstu iespējamos pārpratumus, jo definīcija ir ārpus  11.</w:t>
      </w:r>
      <w:r w:rsidR="00000000" w:rsidRPr="00000000" w:rsidDel="00000000">
        <w:rPr>
          <w:vertAlign w:val="superscript"/>
          <w:rtl w:val="0"/>
        </w:rPr>
        <w:t xml:space="preserve">1</w:t>
      </w:r>
      <w:r w:rsidR="00000000" w:rsidRPr="00000000" w:rsidDel="00000000">
        <w:rPr>
          <w:rtl w:val="0"/>
        </w:rPr>
        <w:t xml:space="preserve"> nodaļas un 12.12. apakšnodaļas, līdz pārpratumi varētu rasties par to, kā ir jāsaprot definīcijā minētā "ēka", proti, vai tā ir ēka Būvniecības likuma izpratnē, vai izpratnē, kas minēta Direktīvā 2024/1275 un skaidro noteikumu projekta 130.</w:t>
      </w:r>
      <w:r w:rsidR="00000000" w:rsidRPr="00000000" w:rsidDel="00000000">
        <w:rPr>
          <w:vertAlign w:val="superscript"/>
          <w:rtl w:val="0"/>
        </w:rPr>
        <w:t xml:space="preserve">19</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w:t>
      </w:r>
      <w:r w:rsidR="00000000" w:rsidRPr="00000000" w:rsidDel="00000000">
        <w:rPr>
          <w:i w:val="1"/>
          <w:rtl w:val="0"/>
        </w:rPr>
        <w:t xml:space="preserve">"minimālās prasības energoefektivitātes jomā"</w:t>
      </w:r>
      <w:r w:rsidR="00000000" w:rsidRPr="00000000" w:rsidDel="00000000">
        <w:rPr>
          <w:rtl w:val="0"/>
        </w:rPr>
        <w:t xml:space="preserve">, tajā skaitā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punktā minētās minimālās energoefektivitātes prasības nosaka Latvijas būvnormatīvs LBN 002-19 </w:t>
      </w:r>
      <w:r w:rsidR="00000000" w:rsidRPr="00000000" w:rsidDel="00000000">
        <w:rPr>
          <w:i w:val="1"/>
          <w:rtl w:val="0"/>
        </w:rPr>
        <w:t xml:space="preserve">"Ēku norobežojošo konstrukciju siltumtehnika"</w:t>
      </w:r>
      <w:r w:rsidR="00000000" w:rsidRPr="00000000" w:rsidDel="00000000">
        <w:rPr>
          <w:rtl w:val="0"/>
        </w:rPr>
        <w:t xml:space="preserve">, kas apstiprināts ar Ministru kabineta 2019. gada 25. jūnija noteikumiem Nr. 280 </w:t>
      </w:r>
      <w:r w:rsidR="00000000" w:rsidRPr="00000000" w:rsidDel="00000000">
        <w:rPr>
          <w:i w:val="1"/>
          <w:rtl w:val="0"/>
        </w:rPr>
        <w:t xml:space="preserve">"Noteikumi par Latvijas būvnormatīvu LBN 002-19 "Ēku norobežojošo konstrukciju siltumtehnika""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vārdi</w:t>
      </w:r>
      <w:r w:rsidR="00000000" w:rsidRPr="00000000" w:rsidDel="00000000">
        <w:rPr>
          <w:i w:val="1"/>
          <w:rtl w:val="0"/>
        </w:rPr>
        <w:t xml:space="preserve"> "atjaunošanas pase"</w:t>
      </w:r>
      <w:r w:rsidR="00000000" w:rsidRPr="00000000" w:rsidDel="00000000">
        <w:rPr>
          <w:rtl w:val="0"/>
        </w:rPr>
        <w:t xml:space="preserve"> lietoti nozīmē, kā to paredz Direktīvā 2024/1275 2.panta 19.punkts, kuru paredzēts transponēt ar grozījumiem Ēku energoefektivitātes likumā [25-TA-2969]. Pašlaik normatīvā akta projekts paredz definīciju: </w:t>
      </w:r>
      <w:r w:rsidR="00000000" w:rsidRPr="00000000" w:rsidDel="00000000">
        <w:rPr>
          <w:i w:val="1"/>
          <w:rtl w:val="0"/>
        </w:rPr>
        <w:t xml:space="preserve">"atjaunošanas pase – individuāli pielāgots ceļvedis konkrētas ēkas pakāpeniskai atjaunošanai, kas paredz pasākumu īstenošanu vairākos posmos un būtisku ēkas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deleģējumam, būvnormatīvi, tajā skaitā LBN 200-21, nosaka minimālās tehnikās prasības jaunu būvju vai to pārbūvju projektēšanā. Kā viena no šādām prasībām ir nosakāms nosacījums ēku projektēt kā bezemisiju ēku. Definēt bezemisiju ēku un noteikt tai izvirzītās prasības nav būvnormatīvu jomas jautājums, tātad, izrietēs no citiem normatīvajiem aktiem, kas transponēs Direktīvas 2024/1275 11.pantu. Noteikumu projekts netransponē Direktīvas 2024/1275 11.pantu.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2.pamta otro daļu transponēs un bezemisijas ēkas definīciju noteiks likumprojekts “Grozījumi Ēku energoefektivitātes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14.panta 4.punkta ceturtā daļa nosaka, iespēju dzīvojamo ēku velosipēdu stāvvietu skaitu koriģēt </w:t>
      </w:r>
      <w:r w:rsidR="00000000" w:rsidRPr="00000000" w:rsidDel="00000000">
        <w:rPr>
          <w:i w:val="1"/>
          <w:rtl w:val="0"/>
        </w:rPr>
        <w:t xml:space="preserve">"ņemot vērā vietējo iestāžu novērtējumu un vietējās īpatnības, tostarp demogrāfiskos, ģeogrāfiskos un klimatiskos apstākļus"</w:t>
      </w:r>
      <w:r w:rsidR="00000000" w:rsidRPr="00000000" w:rsidDel="00000000">
        <w:rPr>
          <w:rtl w:val="0"/>
        </w:rPr>
        <w:t xml:space="preserve">. Minēto rīcības brīvību paredzēts izmantot ar regulējumu 130.</w:t>
      </w:r>
      <w:r w:rsidR="00000000" w:rsidRPr="00000000" w:rsidDel="00000000">
        <w:rPr>
          <w:vertAlign w:val="superscript"/>
          <w:rtl w:val="0"/>
        </w:rPr>
        <w:t xml:space="preserve">18</w:t>
      </w:r>
      <w:r w:rsidR="00000000" w:rsidRPr="00000000" w:rsidDel="00000000">
        <w:rPr>
          <w:rtl w:val="0"/>
        </w:rPr>
        <w:t xml:space="preserve"> punktā, proti, nosakot, ka</w:t>
      </w:r>
      <w:r w:rsidR="00000000" w:rsidRPr="00000000" w:rsidDel="00000000">
        <w:rPr>
          <w:i w:val="1"/>
          <w:rtl w:val="0"/>
        </w:rPr>
        <w:t xml:space="preserve"> "[..] prasības par velosipēdu stāvvietu skaitu var koriģēt ar būvspeciālista pamatojumu, kas iekļauj arī novērtējumu par vietējām īpatnībām, attiecīgo pamatojumu pievienojot vai iekļaujot būvniecības ieceres dokumentācijā"</w:t>
      </w:r>
      <w:r w:rsidR="00000000" w:rsidRPr="00000000" w:rsidDel="00000000">
        <w:rPr>
          <w:rtl w:val="0"/>
        </w:rPr>
        <w:t xml:space="preserve">. Ņemot vērā, ka šāda pieeja vienlaikus nozīmē arī administratīvā sloga pieaugumu, to mēģināts pēc iespējas samazināt jau regulējumā nosakot tipiskākos izņēmumus dzīvojamām ēkām (130.</w:t>
      </w:r>
      <w:r w:rsidR="00000000" w:rsidRPr="00000000" w:rsidDel="00000000">
        <w:rPr>
          <w:vertAlign w:val="superscript"/>
          <w:rtl w:val="0"/>
        </w:rPr>
        <w:t xml:space="preserve">25</w:t>
      </w:r>
      <w:r w:rsidR="00000000" w:rsidRPr="00000000" w:rsidDel="00000000">
        <w:rPr>
          <w:rtl w:val="0"/>
        </w:rPr>
        <w:t xml:space="preserve">p). Vēršam uzmanību, ka Direktīvas 2024/1275 14.panta 4.punkta ceturtā daļa tiešā veidā ir attiecināma uz dzīvojamajām ēkām, savukārt, noteikumu projektā 130.</w:t>
      </w:r>
      <w:r w:rsidR="00000000" w:rsidRPr="00000000" w:rsidDel="00000000">
        <w:rPr>
          <w:vertAlign w:val="superscript"/>
          <w:rtl w:val="0"/>
        </w:rPr>
        <w:t xml:space="preserve">18</w:t>
      </w:r>
      <w:r w:rsidR="00000000" w:rsidRPr="00000000" w:rsidDel="00000000">
        <w:rPr>
          <w:rtl w:val="0"/>
        </w:rPr>
        <w:t xml:space="preserve">punktā noteikts, ka šī kārtība ir attiecināma gan uz dzīvojamajām ēkām, gan uz nedzīvojamām ēkām. Tas tādēļ, ka atbilstoši Būvniecības likuma 9.</w:t>
      </w:r>
      <w:r w:rsidR="00000000" w:rsidRPr="00000000" w:rsidDel="00000000">
        <w:rPr>
          <w:vertAlign w:val="superscript"/>
          <w:rtl w:val="0"/>
        </w:rPr>
        <w:t xml:space="preserve">1</w:t>
      </w:r>
      <w:r w:rsidR="00000000" w:rsidRPr="00000000" w:rsidDel="00000000">
        <w:rPr>
          <w:rtl w:val="0"/>
        </w:rPr>
        <w:t xml:space="preserve">pantā noteiktajai kārtībai tāda pati kārtība pēc būtības ir attiecināma arī uz nedzīvojamām ēkām. Minētā iemesla dēļ, lai nodrošinātu regulējuma skaidrību, noteikumu projekts 130.</w:t>
      </w:r>
      <w:r w:rsidR="00000000" w:rsidRPr="00000000" w:rsidDel="00000000">
        <w:rPr>
          <w:vertAlign w:val="superscript"/>
          <w:rtl w:val="0"/>
        </w:rPr>
        <w:t xml:space="preserve">18</w:t>
      </w:r>
      <w:r w:rsidR="00000000" w:rsidRPr="00000000" w:rsidDel="00000000">
        <w:rPr>
          <w:rtl w:val="0"/>
        </w:rPr>
        <w:t xml:space="preserve">punktā satur atsauci arī uz 130.</w:t>
      </w:r>
      <w:r w:rsidR="00000000" w:rsidRPr="00000000" w:rsidDel="00000000">
        <w:rPr>
          <w:vertAlign w:val="superscript"/>
          <w:rtl w:val="0"/>
        </w:rPr>
        <w:t xml:space="preserve">6</w:t>
      </w:r>
      <w:r w:rsidR="00000000" w:rsidRPr="00000000" w:rsidDel="00000000">
        <w:rPr>
          <w:rtl w:val="0"/>
        </w:rPr>
        <w:t xml:space="preserve">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noteikumu projekts paredz būvnormatīvu papildināt ar jaunu 130.</w:t>
      </w:r>
      <w:r w:rsidR="00000000" w:rsidRPr="00000000" w:rsidDel="00000000">
        <w:rPr>
          <w:vertAlign w:val="superscript"/>
          <w:rtl w:val="0"/>
        </w:rPr>
        <w:t xml:space="preserve">25</w:t>
      </w:r>
      <w:r w:rsidR="00000000" w:rsidRPr="00000000" w:rsidDel="00000000">
        <w:rPr>
          <w:rtl w:val="0"/>
        </w:rPr>
        <w:t xml:space="preserve">punktu, tajā nosaucot gadījumus un situācijas kurās Ekonomikas ministrijas ieskatā visā Latvijā vienādi atkāpe no prasības ierīkot velosipēda stāvvietu pie dzīvojamās ēkas būtu pamatota, ja būvspeciālists to pamatotu Būvniecības likuma 9.</w:t>
      </w:r>
      <w:r w:rsidR="00000000" w:rsidRPr="00000000" w:rsidDel="00000000">
        <w:rPr>
          <w:vertAlign w:val="superscript"/>
          <w:rtl w:val="0"/>
        </w:rPr>
        <w:t xml:space="preserve">1</w:t>
      </w:r>
      <w:r w:rsidR="00000000" w:rsidRPr="00000000" w:rsidDel="00000000">
        <w:rPr>
          <w:rtl w:val="0"/>
        </w:rPr>
        <w:t xml:space="preserve">pantā noteiktajā kārtībā. Minēto gadījumu nosaukšana pašā būvnormatīvā nodrošina to, ka tas pats rezultāts tiek sasniegts (atkāpe no prasības tiek pieļauta) bez lieka administratīvā sloga (bez būvspeciālsita sagatavota pamatojuma), turklāt, attiecīgo regulējumu piemērojot vienveidīgi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būvvaldes kompetenci. Saskaņā ar būvniecības regulējumā noteikto būvvalžu kompetenci, būvvaldei nav piekritīgi jautājumi par to, vai būvniecības iecerē iekļautie tehniskie risinājumi izpilda vai neizpilda būvnormatīvā noteiktās minimālās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faktiski vienu būvniecības ieceri mākslīgi sadalīt vairākās paralēlās būvniecības iecerēs ar mērķi izvairīties no prasībām, kas ir piesaistītas "</w:t>
      </w:r>
      <w:r w:rsidR="00000000" w:rsidRPr="00000000" w:rsidDel="00000000">
        <w:rPr>
          <w:i w:val="1"/>
          <w:rtl w:val="0"/>
        </w:rPr>
        <w:t xml:space="preserve">nozīmīga atjaunošana</w:t>
      </w:r>
      <w:r w:rsidR="00000000" w:rsidRPr="00000000" w:rsidDel="00000000">
        <w:rPr>
          <w:rtl w:val="0"/>
        </w:rPr>
        <w:t xml:space="preserve">" definīcijai.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9.pants nosaka septiņas būtiskās būvei izvirzītās prasības, atbilstoši kurām būve ir projektējama, būvējama un ekspluatējama. Visas septiņas Būvniecības likumā noteiktās prasības ir salāgotas ar Eiropas Parlamenta un Padomes 2024.gada 27.novembra Regula (ES) 2024/3110 I pielikumā minētajām septiņām prasībām no astoņām. Būvniecības likumā šīs septiņas pamatprasības ir noteiktas, jo attiecīgās Regulas darbības tvērums ir būvizstrādājumu joma, nevis būvju projektēšanas joma, tātad, lai abas jomas (būvizstrādājumu joma un būvju projektēšanas joma) savā starpā būtu salāgotas, attiecīgās prasības ir nosakāmas Latvijas nacionālajā regulējumā, kas regulē arī projektēšanas jomu, proti, Būvniecības likumā vai LBN 200-21. Būvniecības likuma 9.pantā nav minēta attiecīgās Regulas I pielikuma 7. punktā noteiktā prasība nodrošināt "</w:t>
      </w:r>
      <w:r w:rsidR="00000000" w:rsidRPr="00000000" w:rsidDel="00000000">
        <w:rPr>
          <w:i w:val="1"/>
          <w:rtl w:val="0"/>
        </w:rPr>
        <w:t xml:space="preserve">[b]ūvju emisijas āra vidē", </w:t>
      </w:r>
      <w:r w:rsidR="00000000" w:rsidRPr="00000000" w:rsidDel="00000000">
        <w:rPr>
          <w:rtl w:val="0"/>
        </w:rPr>
        <w:t xml:space="preserve">līdz ar to, arī šai prasībai būtu jābūt noteiktai Būvniecības likumā vai LBN 200-21. Minētajā kontekstā ir jāņem vērā arī apstāklis, ka projektēšanas prasības emisijas jomā attiecībā uz ražošanas ēkām pašlaik ir noteiktas LBN 200-21 167.1.apakšpunktā, savukārt specifiskas emisijas prasības veselības aprūpes un izglītības ēku apdares materiāliem nosaka LBN 200-21 128.punkts. Minētais nozīmē, ka pašlaik tikai ražošanas ēkām un daļēji arī veselības aprūpes un izglītības iestāžu ēkām būvju emisiju jomas prasības ir salāgotas starp būvizstrādājumu jomu un būvju projektēšanas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Latvijā būvniecību regulējošajos normatīvajos aktos iztrūkst regulējums, kas kā vienu no būvēm izvirzītajām būtiskajām prasībām projektēšanas jomā noteiktu "</w:t>
      </w:r>
      <w:r w:rsidR="00000000" w:rsidRPr="00000000" w:rsidDel="00000000">
        <w:rPr>
          <w:i w:val="1"/>
          <w:rtl w:val="0"/>
        </w:rPr>
        <w:t xml:space="preserve">[b]ūvju emisijas āra vidē".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LBN 200-21 167.1.apakšpunktu, vienlaikus prasību būves emisijai āra vidē nosakot LBN 200-21 5. punktā, tādā veidā attiecīgo prasību nosakot kā saistošu ne tikai ražošanas ēku, bet visu būvju projektēšanā. Minētais risinājums vienlaikus nodrošina to, ka visas astoņas pamatprasības, jeb būvei noteiktās būtiskās prasības, būtu salāgotas būvizstrādājumu jomā un būvju projektēšanas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minētie vārdi </w:t>
      </w:r>
      <w:r w:rsidR="00000000" w:rsidRPr="00000000" w:rsidDel="00000000">
        <w:rPr>
          <w:i w:val="1"/>
          <w:rtl w:val="0"/>
        </w:rPr>
        <w:t xml:space="preserve">"emisijas gaisā" </w:t>
      </w:r>
      <w:r w:rsidR="00000000" w:rsidRPr="00000000" w:rsidDel="00000000">
        <w:rPr>
          <w:rtl w:val="0"/>
        </w:rPr>
        <w:t xml:space="preserve">nozīmē arī noteikto prasību par gaisu piesārņojošo vielu emisiju normatīvu ievērošanu pilsētās, kurās konstatētas gaisa kvalitātes problēmas (šobrīd atbilstoši gaisa kvalitātes mērījumu datiem tādas Latvijā ir – Rīga, Liepāja un Rēzekne). Tas nozīmē, ka projektējot jaunas ēkas vai apkures sistēmu izmaiņas būtu jāparedz tāds apkures risinājums, kas nerada gaisu piesārņojošo vielu emisijas vai arī, ja tas tehniski vai ekonomiski nav pamatoti, paredzot risinājumu ar mazākajām iespējamajām emisijām. Minētajā kontekstā vēršama uzmanība, ka par augstas efektivitātes un gaisa kvalitātes prasībām atbilstošām apkures sistēmām varētu uzskatīt: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kurās izmanto koģenerāciju vienlaicīgai siltumenerģijas un elektroenerģijas vai mehāniskās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kurās izmanto siltumsūkņus, kas, mainot siltuma dabisko plūsmu, pārvada siltumu no dabiskās vides uz ēkām vai ēku inženiertehniskajām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centralizētas siltumapgādes vai centralizētas dzesēšanas sistēmas, īpaši tādas, kuras, pievadot enerģiju no centrālā enerģijas ražošanas avota, izmantojamas vairākām ēkām vai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saistībā ar </w:t>
      </w:r>
      <w:r w:rsidR="00000000" w:rsidRPr="00000000" w:rsidDel="00000000">
        <w:rPr>
          <w:i w:val="1"/>
          <w:rtl w:val="0"/>
        </w:rPr>
        <w:t xml:space="preserve">emisijām gaisā </w:t>
      </w:r>
      <w:r w:rsidR="00000000" w:rsidRPr="00000000" w:rsidDel="00000000">
        <w:rPr>
          <w:rtl w:val="0"/>
        </w:rPr>
        <w:t xml:space="preserve">Latvijas būvnormatīva LBN 231-15 "Dzīvojamo un publisko ēku apkure un ventilācija" spēkā esošās redakcijas 16.punkts nosaka, ka: </w:t>
      </w:r>
      <w:r w:rsidR="00000000" w:rsidRPr="00000000" w:rsidDel="00000000">
        <w:rPr>
          <w:i w:val="1"/>
          <w:rtl w:val="0"/>
        </w:rPr>
        <w:t xml:space="preserve">"[b]ūvobjektos atļauts izbūvēt vietējās apkures ierīces, kas darbojas ar cieto kurināmo, ja tiek ievēroti šī būvnormatīva 1. pielikuma 1. tabulā minētie maksimālie parametri, </w:t>
      </w:r>
      <w:r w:rsidR="00000000" w:rsidRPr="00000000" w:rsidDel="00000000">
        <w:rPr>
          <w:i w:val="1"/>
          <w:u w:val="single"/>
          <w:rtl w:val="0"/>
        </w:rPr>
        <w:t xml:space="preserve">kā arī vides aizsardzības normatīvajos aktos noteiktie ierobežojumi un prasības</w:t>
      </w:r>
      <w:r w:rsidR="00000000" w:rsidRPr="00000000" w:rsidDel="00000000">
        <w:rPr>
          <w:i w:val="1"/>
          <w:rtl w:val="0"/>
        </w:rPr>
        <w:t xml:space="preserve">. Ja ēka, kurā ir krāsns apkure, tiek atjaunota vai pārbūvēta, krāsns apkuri atļauts saglabāt neatkarīgi no ēkas stāvu skaita un kopējās platības."  </w:t>
      </w:r>
      <w:r w:rsidR="00000000" w:rsidRPr="00000000" w:rsidDel="00000000">
        <w:rPr>
          <w:rtl w:val="0"/>
        </w:rPr>
        <w:t xml:space="preserve">Viens no vides aizsardzības normatīvajiem aktiem ir likums </w:t>
      </w:r>
      <w:r w:rsidR="00000000" w:rsidRPr="00000000" w:rsidDel="00000000">
        <w:rPr>
          <w:i w:val="1"/>
          <w:rtl w:val="0"/>
        </w:rPr>
        <w:t xml:space="preserve">“Par piesārņojumu”</w:t>
      </w:r>
      <w:r w:rsidR="00000000" w:rsidRPr="00000000" w:rsidDel="00000000">
        <w:rPr>
          <w:rtl w:val="0"/>
        </w:rPr>
        <w:t xml:space="preserve">, tātad, arī šis likums un uz tā pamata izdotie noteikumi attiecās uz individuālās apkures iekārtām. Pamatojoties uz likuma </w:t>
      </w:r>
      <w:r w:rsidR="00000000" w:rsidRPr="00000000" w:rsidDel="00000000">
        <w:rPr>
          <w:i w:val="1"/>
          <w:rtl w:val="0"/>
        </w:rPr>
        <w:t xml:space="preserve">“Par piesārņojumu”</w:t>
      </w:r>
      <w:r w:rsidR="00000000" w:rsidRPr="00000000" w:rsidDel="00000000">
        <w:rPr>
          <w:rtl w:val="0"/>
        </w:rPr>
        <w:t xml:space="preserve"> 14.panta otro daļu </w:t>
      </w:r>
      <w:r w:rsidR="00000000" w:rsidRPr="00000000" w:rsidDel="00000000">
        <w:rPr>
          <w:i w:val="1"/>
          <w:rtl w:val="0"/>
        </w:rPr>
        <w:t xml:space="preserve">“[j]a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izņemot šā likuma 16.pantā minētos gadījumus”.</w:t>
      </w:r>
      <w:r w:rsidR="00000000" w:rsidRPr="00000000" w:rsidDel="00000000">
        <w:rPr>
          <w:rtl w:val="0"/>
        </w:rPr>
        <w:t xml:space="preserve"> Saskaņā ar šo deleģējumu, piemēram, Rīgas valstspilsētā ir izdoti Rīgas domes 2024. gada 21. februāra saistošie noteikumi Nr. RD‑24‑260‑sn </w:t>
      </w:r>
      <w:r w:rsidR="00000000" w:rsidRPr="00000000" w:rsidDel="00000000">
        <w:rPr>
          <w:i w:val="1"/>
          <w:rtl w:val="0"/>
        </w:rPr>
        <w:t xml:space="preserve">“Par teritoriālajām zonām siltumapgādes veida izvēlei un prasībām siltumapgādes sistēmas iekārtu izvēlei”</w:t>
      </w:r>
      <w:r w:rsidR="00000000" w:rsidRPr="00000000" w:rsidDel="00000000">
        <w:rPr>
          <w:rtl w:val="0"/>
        </w:rPr>
        <w:t xml:space="preserve">, kas ir saistoši gan jaunu iekārtu uzstādīšanai, gan to nomaiņai.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uzlādes punkts ir publiski pieejams Eiropas Parlamenta un Padomes 2023. gada 13. septembra regulas (ES) Nr. 2023/1804 par alternatīvo degvielu infrastruktūras ieviešanu izpratnē, uz to neatkarīgi no šo noteikumu prasībām ir tieši piemērojamas minētajā regulā noteiktās ekspluatācijas, lietotāju tiesību un tirgus darbības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ietekmētās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Būvniecības ierosinātāji</w:t>
      </w:r>
      <w:r w:rsidR="00000000" w:rsidRPr="00000000" w:rsidDel="00000000">
        <w:rPr>
          <w:rtl w:val="0"/>
        </w:rPr>
        <w:t xml:space="preserve"> -  ja paredzēts būvēt jaunu vai nozīmīgi atjaunot jau esošo ēku, kurai ir apkure, tad attiecīgā iecere ietver risinājumus, kas sadārdzina būvniecības ieceri.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Būvprojekta izstrādātāji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jaunās prasības ēku projektēt kā bezemisiju ēku vai gandrīz nulles emisijas ēku. Būvniecības iecerē jāiekļauj uzlādes punktu ierīkošana, kabeļu iepriekšēju ierīkošana, saules enerģijas risinājumi, kā arī ēkas sistēmu efektivitātes elektroniska uzraudzība. Jāņem vērā, ka minimālās tehniskās prasības vides pieejamības jomā kļūst saistošas arī nozīmīgas atjaunošanas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Ēku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lietotājiem jaunā ēkā vai ēkā, kurai veikta nozīmīga atjaunošana, tiek nodrošināta energoefektivitāte, līdz ar to arī mazāki 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Transporta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Elektrotransportlīdzekļu un velosipēdu lietotājiem jaunā ēkā vai ēkā, kurai veikta nozīmīga atjaunošana, tiek nodrošināta nepieciešamā infrastruktūra uzlādes punkti, iespēja ierīkot uzlādes punktus kā arī velosipēdu stāvvietas.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 Personas ar invaliditāti (kustību vai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objektiem tiek risināti vides pieejamības jautājumi, proti, arī nozīmīgas atjaunošanas gadījumā tehnisko un ekonomisko iespēju robežās vides pieejamības prasības tiek noteiktas kā saistošas.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ietekmes galvenās pozīcijas ir vienādas gan fiziskām, gan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Prasību izpildes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prasības attiecas uz ēkām, kas vēl tikai tiks projektētas un būvētas vai pārbūvētas, veicot nozīmīgu atjaunošanu, kam šobrīd nav zināmi attiecīgo objektu raksturojošie dati, piemēram, ēkas lietošanas veids, platība, atrašanās vieta, jumta konstrukcijas risinājumi, jumta forma un jumta platība, citu sistēmu inženiertehniskie risinājumi, esošā autostāvvietu infrastruktūra, esošie vides pieejamības risinājumi u.c. Prasību izpildes izmaksas ikvienu pozīciju būtiski ietekmē ļoti plašs savstarpēji saistītu mainīgo faktoru kopums, tostarp būves arhitektoniskie un konstruktīvie risinājumi, izvēlētās tehnoloģijas, dažādu saistīto sistēmu jaudas, zemesgabala īpatnības, datums, kad iesniegs būvatļaujas vai līdzīgs pieteikums, kā arī tirgus situācija projektu izstrādes un būvdarbu veikšanas brīdī, turklāt, daļa no prasībām ir atkarīga arī no būvniecības ierosinātāja finanšu iespējām un vēlmi kādu prasību risināt vienā vai citā veidā. Ņemot vērā minēto, jebkāds vispārināts vai vidējos rādītājos uz vairākiem secīgiem pieņēmumiem balstīts izmaksu aprēķins šādā stadijā būtu ar ļoti augstu neprecizitātes risku un varētu radīt ļoti maldinošu priekšstatu par faktisko finansiālo ietekmi uz konkrētām būvniecības iecerēm. Minēto iemeslu dēļ prasību izpildes izmaksu pozīcijas aprakstītas raksturojot noteikumu projekta skartās sabiedrības grupas un attiecīgo ietekmi, tās grupējot pa saistītajām pozīcijām. Prasību izpildes izmaksu aprēķinu veikšana un turpmāka izmantošana bez individuālas situācijas izvērtēšanas var novest pie kļūdainiem secinājumiem. Minēto apsvērumu dēļ detalizēts prasību izpildes izmaksu aprēķins nav iekļauts anotācijas 2.5.sadaļā, 3.sadaļā un 7.sadaļā.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Bezemisiju ēkas un gandrīz nulles emisijas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1.8.p, kas paredz jaunu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izpilde ar augstu varbūtību pārklājas ar prasībām citās jomās, kas noteiktas paralēli, piemēram, saules enerģijas jomā u.c. saistītajiem risinājumiem, kas nepieciešam arī šis prasības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Saules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1.6.p, kas paredz jaunu 130.</w:t>
      </w:r>
      <w:r w:rsidR="00000000" w:rsidRPr="00000000" w:rsidDel="00000000">
        <w:rPr>
          <w:vertAlign w:val="superscript"/>
          <w:rtl w:val="0"/>
        </w:rPr>
        <w:t xml:space="preserve">5</w:t>
      </w:r>
      <w:r w:rsidR="00000000" w:rsidRPr="00000000" w:rsidDel="00000000">
        <w:rPr>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ietekme ir gan projektēšanu, gan pašu saules paneļu sistēmas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ēka kvalificētos kā bezemisiju ēka, tai pašai jāražo liela daļa patērētās enerģijas, ar visticamāk, būtu jāuzkrāj, tātad, ies`pejamā ietekme arī uz akumulatoru sistēmas nepieciešamību, lai gan tieša obligāta prasība pēc baterijām visos gadījumos nav noteikta. Tas tādēļ, ka baterijas ar augstu ticamību būtu veids, kā izpildīt energoefektivitātes prasības, proti, intensīvas ražošanas periodā uzkrāt enerģiju tās patēriņam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ietekme ir arī uz saules siltuma kolektoriem (ūdens uzsildīšanai).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saules paneļi ir populārāki, dažos projektos (piemēram, sporta kompleksos ar dušām) termiskie saules kolektori var būt vēl efektīvāks veids energoefektivitātes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Saistītās prasības ēkas vadības sistēmas jomā veicina sistēmu integrāciju, kur saules invertors "sarunājas" ar siltumsūkni.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Enerģijas monitoringa un vadības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1.5.p, kas paredz jaunu 130.</w:t>
      </w:r>
      <w:r w:rsidR="00000000" w:rsidRPr="00000000" w:rsidDel="00000000">
        <w:rPr>
          <w:vertAlign w:val="superscript"/>
          <w:rtl w:val="0"/>
        </w:rPr>
        <w:t xml:space="preserve">1</w:t>
      </w:r>
      <w:r w:rsidR="00000000" w:rsidRPr="00000000" w:rsidDel="00000000">
        <w:rPr>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sadaļa, kurā visas apakšsistēmas (apkure, ventilācija, saules paneļi, apgaismojums) tiek apvienotas vienā saskarnē.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var ietvert arī algoritmu izstrādi, piemēram: "ja telpā nav cilvēku 30 minūtes, samazināt temperatūru par 2 grādiem un izslēgt ventilāciju".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1.6.p, kas paredz jaunu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Uzlādes punktu ierīkošanas risinājumi un līdz ar to arī izmaksas ļoti būtiski mainās atkarībā no citiem saistitajiem apstākļiem un no tā, cik apkārtējie elementi ir "labvēlīgi" vai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jāpiemin, ka izmaksu sadārdzinājumā ir jāņem vērā vai uz objektu iepriekš jau attiecās un tika izpildītas attiecīgās jomas prasības, kas līdz šim noteiktas Latvijas būvnormatīva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Minētais regulējums noteica, </w:t>
      </w:r>
      <w:r w:rsidR="00000000" w:rsidRPr="00000000" w:rsidDel="00000000">
        <w:rPr>
          <w:i w:val="1"/>
          <w:rtl w:val="0"/>
        </w:rPr>
        <w:t xml:space="preserve">"[j]aunas nedzīvojamas ēkas būvniecībā ar vairāk nekā desmit autostāvvietām būvprojektā vismaz vienai no šīm autostāvvietām paredz elektrotransportlīdzekļu uzlādes punktu un vismaz katrai piektajai stāvvietai – nepieciešamo elektrības kabeļu kanālu infrastruktūru".</w:t>
      </w:r>
      <w:r w:rsidR="00000000" w:rsidRPr="00000000" w:rsidDel="00000000">
        <w:rPr>
          <w:rtl w:val="0"/>
        </w:rPr>
        <w:t xml:space="preserve">  Pieņemot, ka objekts ir nedzīvojamā ēka (nav biroja ēka) ar 10 stāvvietām, tad jau līdz šim šādai ēkai tika noteikta prasība ierīkot vienu uzlādes punktu, attiecīgi, izmaiņas ir tikai skaitā, proti, viena uzlādes punkta vietā būs jāparedz ierīkot vēl vienu.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Kabeļu iepriekšēja ierīkošana un kabeļkanāli.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1.6.p, kas paredz jaunu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ietekmējošie mainīgie apstākļi ir ļoti daudz, taču visvairāk atkarīgi no stāvvietu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jāpiemin, ka izmaksu sadārdzinājumā ir jāņem vērā vai uz objektu iepriekš jau attiecās un tika izpildītas attiecīgās jomas prasības, kas līdz šim noteiktas Latvijas būvnormatīva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Minētais regulējums noteica, </w:t>
      </w:r>
      <w:r w:rsidR="00000000" w:rsidRPr="00000000" w:rsidDel="00000000">
        <w:rPr>
          <w:i w:val="1"/>
          <w:rtl w:val="0"/>
        </w:rPr>
        <w:t xml:space="preserve">"[j]aunas nedzīvojamas ēkas būvniecībā ar vairāk nekā desmit autostāvvietām būvprojektā vismaz vienai no šīm autostāvvietām paredz elektrotransportlīdzekļu uzlādes punktu un vismaz katrai piektajai stāvvietai – nepieciešamo elektrības kabeļu kanālu infrastruktūru"</w:t>
      </w:r>
      <w:r w:rsidR="00000000" w:rsidRPr="00000000" w:rsidDel="00000000">
        <w:rPr>
          <w:rtl w:val="0"/>
        </w:rPr>
        <w:t xml:space="preserve">.  Pieņemot, ka objekts ir nedzīvojamā ēka (nav biroja ēka) ar 10 stāvvietām, tad jau līdz šim šādai ēkai tika noteikta prasība vismaz katrai piektajai stāvvietai paredzēt nepieciešamo elektrības kabeļu kanālu infrastruktūru, tātad, attiecīgi, mainās tikai īpatsvars (no 20% uz 100%) no stāvvietām, kas jānodrošina ar kabeļkanāliem.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Velosipēdu stāvvietu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1.6.p, kas paredz jaunu 130.</w:t>
      </w:r>
      <w:r w:rsidR="00000000" w:rsidRPr="00000000" w:rsidDel="00000000">
        <w:rPr>
          <w:vertAlign w:val="superscript"/>
          <w:rtl w:val="0"/>
        </w:rPr>
        <w:t xml:space="preserve">6</w:t>
      </w:r>
      <w:r w:rsidR="00000000" w:rsidRPr="00000000" w:rsidDel="00000000">
        <w:rPr>
          <w:rtl w:val="0"/>
        </w:rPr>
        <w:t xml:space="preserve">3 un 130.</w:t>
      </w:r>
      <w:r w:rsidR="00000000" w:rsidRPr="00000000" w:rsidDel="00000000">
        <w:rPr>
          <w:vertAlign w:val="superscript"/>
          <w:rtl w:val="0"/>
        </w:rPr>
        <w:t xml:space="preserve">7</w:t>
      </w:r>
      <w:r w:rsidR="00000000" w:rsidRPr="00000000" w:rsidDel="00000000">
        <w:rPr>
          <w:rtl w:val="0"/>
        </w:rPr>
        <w:t xml:space="preserve">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nenosaka kādu konkrētu velosipēda stāvvietas risinājumu, tātad, tas tik pat labi var būt statīvs pie ēkas sienas, nojume netālu no ēkas vai ēkā esoša speciāla šim mērķim paredzēta 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Vides pieejamība u.c. papildus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noteikumu projekta 1.4.p, kas paredz jaunu 6.</w:t>
      </w:r>
      <w:r w:rsidR="00000000" w:rsidRPr="00000000" w:rsidDel="00000000">
        <w:rPr>
          <w:vertAlign w:val="superscript"/>
          <w:rtl w:val="0"/>
        </w:rPr>
        <w:t xml:space="preserve">1</w:t>
      </w:r>
      <w:r w:rsidR="00000000" w:rsidRPr="00000000" w:rsidDel="00000000">
        <w:rPr>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apstāklis ir arī tam, ka noteikumu projekts ēkas nozīmīgas atjaunošanas gadījumā paredz ārpus sākotnējās ieceres tvēruma papildus risināt arī jautājumus optimālas iekštelpu vides kvalitātes, ugunsdrošības, pielāgošanās klimata pārmaiņām, vides pieejamība personām ar funkcionāliem traucējumiem, bīstamu vielu, tostarp azbesta, nodošana atkritumu apsaimniekotājam, būvju emisija āra vidē jomā. Minētās prasības izpilde ir tieši atkarīga no konkrētās situācijas un ir īstenojama ļoti plašā risinājumu un izmaksu diapazonā, līdz ar to, objektīvu apsvērumu dēļ attiecīgās prasības izpildes izmaksas prognozēt pat aptuveni nav iespējams. Ir prognozējams tikai tas, ka vides pieejamības prasību u.c. papildus prasību izpilde tipiskā situācijā varētu būt apjomā, kas nepārsniedz 10% no būvniecības ieceres izmaksām, jo pārsniedzot minēto 10% slieksni, attiecīgās prasības var tikt definētas kā ekonomiski nepamatotas, līdz ar to var nebūt saistošas.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iesnieguma sagatavošanas kārtību, kādā saskaņojama saules paneļu sistēmas pieslēgšanās kopējam elektrotīklam vai kartību kādā iegūstama informācija par pieejamo jaudu autostāvvietas uzlādes punktu ierīkošanai. Vienlaikus noteikumu projekts nosaka prasību ierīkot saules paneļus un uzlādes punktus, kuru izpildei būs nepieciešams saņemt attiecīgās atļaujas vai informāciju. Minētā iemesla dēļ šajā kontekstā noteikumu projektam nav tieša ietekme uz administratīvo slogu, taču ir ietekme uz izmaksām, kas rodas sakarā ar noteikumu projektā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ar kuru būvnormatīvs tiek papildināts ar 130.</w:t>
      </w:r>
      <w:r w:rsidR="00000000" w:rsidRPr="00000000" w:rsidDel="00000000">
        <w:rPr>
          <w:vertAlign w:val="superscript"/>
          <w:rtl w:val="0"/>
        </w:rPr>
        <w:t xml:space="preserve">21</w:t>
      </w:r>
      <w:r w:rsidR="00000000" w:rsidRPr="00000000" w:rsidDel="00000000">
        <w:rPr>
          <w:rtl w:val="0"/>
        </w:rPr>
        <w:t xml:space="preserve">punktu, nosakot nepieciešamību pēc ekonomiskā pamatojuma, tāpat kā citi individuāli apstākļi, kuros atkāpe no prasības ir iespējama, ja tā tiek pamata, pamatojums attiecīgajai atkāpei no prasības ir jāsagatavo un jāiekļauj vai jāpievieno būvniecības iecerei saskaņā ar Būvniecības likuma 9.</w:t>
      </w:r>
      <w:r w:rsidR="00000000" w:rsidRPr="00000000" w:rsidDel="00000000">
        <w:rPr>
          <w:vertAlign w:val="superscript"/>
          <w:rtl w:val="0"/>
        </w:rPr>
        <w:t xml:space="preserve">1</w:t>
      </w:r>
      <w:r w:rsidR="00000000" w:rsidRPr="00000000" w:rsidDel="00000000">
        <w:rPr>
          <w:rtl w:val="0"/>
        </w:rPr>
        <w:t xml:space="preserve">.pantā noteikto kārtību. Šie ir gadījumi, kuros administratīvais slogs pieaug. Šo administratīvo sloga pieaugumu nav iespējams aprēķināt dažādu objektīvu iemeslu dēļ, piemēram, nav iespējams prognozēt gadījumu skaitu, attiecīgo prasību tvērumu, pamatojuma sagatavošanai nepieciešamo laiku u.c. apstākļus, jo tie ir tieši atkarīgi arī no tiem pašiem apsvērumiem, kādēļ nav veicams detalizēts prasību izpildes izmaksu aprēķins. Minēto iemeslu dēļ jebkādi pieņēmumi par minētā administratīvā sloga palielināšanās apjomu var radīt maldīgu priekšstatu un kļūdainus secinājumus par to faktisko kopējo apjomu. Visu minēto apsvērumu dēļ detalizēts administratīvā sloga izmaiņu aprēķins nav iekļauts anotācijas 2.3. un 2.4.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Visvairāk ietekmētās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Būvniecības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 ja paredzēts būvēt jaunu vai nozīmīgi atjaunot jau esošo ēku, kurai ir apkure, tad attiecīgā iecere ietver risinājumus, kas sadārdzina būvniecības ieceri.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Būvprojekta izstrādātāji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 ir jāņem vērā jaunās prasības ēku projektēt kā bezemisiju ēku vai gandrīz nulles emisijas ēku. Būvniecības iecerē jāiekļauj uzlādes punktu ierīkošana, kabeļu iepriekšēju ierīkošana, saules enerģijas risinājumi, kā arī ēkas sistēmu efektivitātes elektroniska uzraudzība. Jāņem vērā, ka minimālās tehniskās prasības vides pieejamības jomā kļūst saistošas arī nozīmīgas atjaunošanas gadījumā par tad, ja sākotnējā iecere neparedzēja skart vides pieejamības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Finansiālās ietekmes galvenās pozīcijas ir vienādas gan fiziskām, gan juridiskām personām un paskaidrota anotācijas 2.1.sadaļas daļā par fiziskām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ar invaliditāti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 anotācijas 2.1.sadaļu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Būvprojekta izstrādātāji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Ēku lietotāji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Transporta lietotāji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Būvprojekta izstrādātāji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minimālo tehnisko prasību izpilde tiks nodrošināta pašvaldību budžetu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2015. gada 9. jūnija noteikumos Nr. 294 "Noteikumi par Latvijas būvnormatīvu LBN 261-15 "Ēku iekšējā elektroinstalācija""  (25-TA-1257)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2024/1275 (turpmāk - Direktīva 2024/1275) atceļ Eiropas Parlamenta un Padomes 2010. gada 19. maija Direktīvu 2010/31/ES (pārstrādāto versiju) (turpmāk - Direktīva 2010/31/ES). Direktīvā 2010/31/ES  noteiktās prasības elektrouzlādes punktu ierīkošanai tika transponētas Latvijas būvnormatīvā LBN 261-15 "Ēku iekšējā elektroinstalācija" (apstiprināts ar Ministru kabineta 2015. gada 9. jūnija noteikumiem Nr. 294 "Noteikumi par Latvijas būvnormatīvu LBN 261-15 "Ēku iekšējā elektroinstalācija""). Minētā būvnormatīva III</w:t>
      </w:r>
      <w:r w:rsidR="00000000" w:rsidRPr="00000000" w:rsidDel="00000000">
        <w:rPr>
          <w:vertAlign w:val="superscript"/>
          <w:rtl w:val="0"/>
        </w:rPr>
        <w:t xml:space="preserve">1</w:t>
      </w:r>
      <w:r w:rsidR="00000000" w:rsidRPr="00000000" w:rsidDel="00000000">
        <w:rPr>
          <w:rtl w:val="0"/>
        </w:rPr>
        <w:t xml:space="preserve"> nodaļa nosaka elektrotransportlīdzekļu uzlādes punktu ierīkošanas prasības, kuras noteikumu projekts gan pārņem, gan precizē vienlaikus, tādā veidā transponējot attiecīgās prasības no Direktīvas 2024/1275. Minēto iemeslu dēļ vienlaicīgi ar noteikumu projekta stāšanos spēkā ir jāgroza arī Latvijas būvnormatīvs LBN 261-15 "Ēku iekšējā elektroinstalācija", tajā dzēšot III</w:t>
      </w:r>
      <w:r w:rsidR="00000000" w:rsidRPr="00000000" w:rsidDel="00000000">
        <w:rPr>
          <w:vertAlign w:val="superscript"/>
          <w:rtl w:val="0"/>
        </w:rPr>
        <w:t xml:space="preserve">1</w:t>
      </w:r>
      <w:r w:rsidR="00000000" w:rsidRPr="00000000" w:rsidDel="00000000">
        <w:rPr>
          <w:rtl w:val="0"/>
        </w:rPr>
        <w:t xml:space="preserve"> nodaļu un informatīvo atsauci uz Direktīvu 2010/31/ES.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2024/1275 par ēku energoefektivitāti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2024. gada 24. aprīļa Direktīvas 2024/1275 par ēku energoefektivitāti preambulas 83.punktam, projekta ietvaros transponētas tikai tās normas, kas ieviestas pilnībā no jauna vai kurām no iepriekš transponētajām normām ir veiktas izmaiņas pēc būtības.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24. aprīļa Direktīva 2024/1275 par ēku energoefektivitāti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[nosaka jaunu  3.29</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[nosaka jaunu 3.24</w:t>
            </w:r>
            <w:r w:rsidR="00000000" w:rsidRPr="00000000" w:rsidDel="00000000">
              <w:rPr>
                <w:sz w:val="24"/>
                <w:vertAlign w:val="superscript"/>
                <w:rtl w:val="0"/>
              </w:rPr>
              <w:t xml:space="preserve">2</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[nosaka jaunu 3.24</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22.punks (b.variants)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[nosaka jaunu 3.23</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[nosaka jaunu 3.14</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[nosaka jaunu 3.1</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[nosaka jaunu 3.13</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64.punkts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3. un 130.</w:t>
            </w:r>
            <w:r w:rsidR="00000000" w:rsidRPr="00000000" w:rsidDel="00000000">
              <w:rPr>
                <w:sz w:val="24"/>
                <w:vertAlign w:val="superscript"/>
                <w:rtl w:val="0"/>
              </w:rPr>
              <w:t xml:space="preserve">7</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65.punkts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[nosaka jaunu 3.1</w:t>
            </w:r>
            <w:r w:rsidR="00000000" w:rsidRPr="00000000" w:rsidDel="00000000">
              <w:rPr>
                <w:sz w:val="24"/>
                <w:vertAlign w:val="superscript"/>
                <w:rtl w:val="0"/>
              </w:rPr>
              <w:t xml:space="preserve">2</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[nosaka jaunu 173.</w:t>
            </w:r>
            <w:r w:rsidR="00000000" w:rsidRPr="00000000" w:rsidDel="00000000">
              <w:rPr>
                <w:sz w:val="24"/>
                <w:vertAlign w:val="superscript"/>
                <w:rtl w:val="0"/>
              </w:rPr>
              <w:t xml:space="preserve">4</w:t>
            </w:r>
            <w:r w:rsidR="00000000" w:rsidRPr="00000000" w:rsidDel="00000000">
              <w:rPr>
                <w:sz w:val="24"/>
                <w:rtl w:val="0"/>
              </w:rPr>
              <w:t xml:space="preserve">. un 173.</w:t>
            </w:r>
            <w:r w:rsidR="00000000" w:rsidRPr="00000000" w:rsidDel="00000000">
              <w:rPr>
                <w:sz w:val="24"/>
                <w:vertAlign w:val="superscript"/>
                <w:rtl w:val="0"/>
              </w:rPr>
              <w:t xml:space="preserve">5</w:t>
            </w:r>
            <w:r w:rsidR="00000000" w:rsidRPr="00000000" w:rsidDel="00000000">
              <w:rPr>
                <w:sz w:val="24"/>
                <w:rtl w:val="0"/>
              </w:rPr>
              <w:t xml:space="preserve">. 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183. un 184.p]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185.p]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[nosaka jaunu redakciju 4.p]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Latvijai neraksturīgas netiek noteiktas prasības saistībā ar risku, kas saistīti ar spēcīgu seismisko aktivitāti.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4</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14</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13</w:t>
            </w:r>
            <w:r w:rsidR="00000000" w:rsidRPr="00000000" w:rsidDel="00000000">
              <w:rPr>
                <w:sz w:val="24"/>
                <w:rtl w:val="0"/>
              </w:rPr>
              <w:t xml:space="preserve">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[nosaka jaunu 6.</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3</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[nosaka jaunu 6.</w:t>
            </w:r>
            <w:r w:rsidR="00000000" w:rsidRPr="00000000" w:rsidDel="00000000">
              <w:rPr>
                <w:sz w:val="24"/>
                <w:vertAlign w:val="superscript"/>
                <w:rtl w:val="0"/>
              </w:rPr>
              <w:t xml:space="preserve">2</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5</w:t>
            </w:r>
            <w:r w:rsidR="00000000" w:rsidRPr="00000000" w:rsidDel="00000000">
              <w:rPr>
                <w:sz w:val="24"/>
                <w:rtl w:val="0"/>
              </w:rPr>
              <w:t xml:space="preserve">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180., 181. un 182.p]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 prasības jaunām ēkām un ēku pārbūvēm (10.panta 3.punkta a, c, d, e, apakšpunktu). Šajā normatīvajā aktā noteikt prasības par esošām ēkām (10.panta 3.daļas b apakšpunktu) nepieļauj deleģējums, jeb šī normatīvā akta darbības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esošām ēkām transponēs cits normatīvais akts -  "Grozījumi Ministru kabineta 2020. gada 10. decembra noteikumos Nr. 730 "Ekspluatējamu ēku energoefektivitātes minimālās prasības"" 26-TA-329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3.punkta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5</w:t>
            </w:r>
            <w:r w:rsidR="00000000" w:rsidRPr="00000000" w:rsidDel="00000000">
              <w:rPr>
                <w:sz w:val="24"/>
                <w:rtl w:val="0"/>
              </w:rPr>
              <w:t xml:space="preserve">1. un 130.</w:t>
            </w:r>
            <w:r w:rsidR="00000000" w:rsidRPr="00000000" w:rsidDel="00000000">
              <w:rPr>
                <w:sz w:val="24"/>
                <w:vertAlign w:val="superscript"/>
                <w:rtl w:val="0"/>
              </w:rPr>
              <w:t xml:space="preserve">5</w:t>
            </w:r>
            <w:r w:rsidR="00000000" w:rsidRPr="00000000" w:rsidDel="00000000">
              <w:rPr>
                <w:sz w:val="24"/>
                <w:rtl w:val="0"/>
              </w:rPr>
              <w:t xml:space="preserve">2.p] un 16. [nosaka jaunu 180.p]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3.punkta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5</w:t>
            </w:r>
            <w:r w:rsidR="00000000" w:rsidRPr="00000000" w:rsidDel="00000000">
              <w:rPr>
                <w:sz w:val="24"/>
                <w:rtl w:val="0"/>
              </w:rPr>
              <w:t xml:space="preserve">5.p]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182.p]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3.punkta (d)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5</w:t>
            </w:r>
            <w:r w:rsidR="00000000" w:rsidRPr="00000000" w:rsidDel="00000000">
              <w:rPr>
                <w:sz w:val="24"/>
                <w:rtl w:val="0"/>
              </w:rPr>
              <w:t xml:space="preserve">3.p]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3.punkta (e)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5</w:t>
            </w:r>
            <w:r w:rsidR="00000000" w:rsidRPr="00000000" w:rsidDel="00000000">
              <w:rPr>
                <w:sz w:val="24"/>
                <w:rtl w:val="0"/>
              </w:rPr>
              <w:t xml:space="preserve">4.p]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[nosaka jaunu 181.p]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20</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1.rindkopa nav pārņemta redakcionāli, bet tajā minētais izpildīts pēc būtības t.i. vienlaikus ar prasībām saules enerģijas jomā, 130.</w:t>
            </w:r>
            <w:r w:rsidR="00000000" w:rsidRPr="00000000" w:rsidDel="00000000">
              <w:rPr>
                <w:sz w:val="24"/>
                <w:vertAlign w:val="superscript"/>
                <w:rtl w:val="0"/>
              </w:rPr>
              <w:t xml:space="preserve">20</w:t>
            </w:r>
            <w:r w:rsidR="00000000" w:rsidRPr="00000000" w:rsidDel="00000000">
              <w:rPr>
                <w:sz w:val="24"/>
                <w:rtl w:val="0"/>
              </w:rPr>
              <w:t xml:space="preserve">punktā tiek noteikti arī kritēriji un iespējamie izņēmumi prasībām saules 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2.rindkopa nav redakcionāli pārņemta regulējumā, bet izpildīta vienlaikus ar šī noteikumu projekta publisko apspriešanu (sabiedrības līdzdalību) un projekta saskaņošanas procesā iesaistot iesaistīto institūciju pārstāvjus (AS "Sadales tīkls").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[nosaka jaunu 130.</w:t>
            </w:r>
            <w:r w:rsidR="00000000" w:rsidRPr="00000000" w:rsidDel="00000000">
              <w:rPr>
                <w:sz w:val="24"/>
                <w:vertAlign w:val="superscript"/>
                <w:rtl w:val="0"/>
              </w:rPr>
              <w:t xml:space="preserve">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6.punkta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14</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12</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11.punkta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12</w:t>
            </w:r>
            <w:r w:rsidR="00000000" w:rsidRPr="00000000" w:rsidDel="00000000">
              <w:rPr>
                <w:sz w:val="24"/>
                <w:rtl w:val="0"/>
              </w:rPr>
              <w:t xml:space="preserve">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11.punkta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12</w:t>
            </w:r>
            <w:r w:rsidR="00000000" w:rsidRPr="00000000" w:rsidDel="00000000">
              <w:rPr>
                <w:sz w:val="24"/>
                <w:rtl w:val="0"/>
              </w:rPr>
              <w:t xml:space="preserve">2.p]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11.punkta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12</w:t>
            </w:r>
            <w:r w:rsidR="00000000" w:rsidRPr="00000000" w:rsidDel="00000000">
              <w:rPr>
                <w:sz w:val="24"/>
                <w:rtl w:val="0"/>
              </w:rPr>
              <w:t xml:space="preserve">3.p]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12</w:t>
            </w:r>
            <w:r w:rsidR="00000000" w:rsidRPr="00000000" w:rsidDel="00000000">
              <w:rPr>
                <w:sz w:val="24"/>
                <w:rtl w:val="0"/>
              </w:rPr>
              <w:t xml:space="preserve">p, kurā iekļauts pieļautais izņēmums]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pirmās daļas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pirmās daļas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2.p]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pirmās daļas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3.p]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 (a) un (b)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8</w:t>
            </w:r>
            <w:r w:rsidR="00000000" w:rsidRPr="00000000" w:rsidDel="00000000">
              <w:rPr>
                <w:sz w:val="24"/>
                <w:rtl w:val="0"/>
              </w:rPr>
              <w:t xml:space="preserve">p un 130.</w:t>
            </w:r>
            <w:r w:rsidR="00000000" w:rsidRPr="00000000" w:rsidDel="00000000">
              <w:rPr>
                <w:sz w:val="24"/>
                <w:vertAlign w:val="superscript"/>
                <w:rtl w:val="0"/>
              </w:rPr>
              <w:t xml:space="preserve">9</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6</w:t>
            </w:r>
            <w:r w:rsidR="00000000" w:rsidRPr="00000000" w:rsidDel="00000000">
              <w:rPr>
                <w:sz w:val="24"/>
                <w:rtl w:val="0"/>
              </w:rPr>
              <w:t xml:space="preserve">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24</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nav transponēta redakcionāli, bet tajā minētais izpildīts pēc būtības t.i. vienlaikus ar prasībām velosipēdu stāvvietu ierīkošanai, 130.</w:t>
            </w:r>
            <w:r w:rsidR="00000000" w:rsidRPr="00000000" w:rsidDel="00000000">
              <w:rPr>
                <w:sz w:val="24"/>
                <w:vertAlign w:val="superscript"/>
                <w:rtl w:val="0"/>
              </w:rPr>
              <w:t xml:space="preserve">24</w:t>
            </w:r>
            <w:r w:rsidR="00000000" w:rsidRPr="00000000" w:rsidDel="00000000">
              <w:rPr>
                <w:sz w:val="24"/>
                <w:rtl w:val="0"/>
              </w:rPr>
              <w:t xml:space="preserve">punktā tiek noteikti arī kritēriji un iespējamie izņēmumi.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7</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pirmās daļas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7</w:t>
            </w:r>
            <w:r w:rsidR="00000000" w:rsidRPr="00000000" w:rsidDel="00000000">
              <w:rPr>
                <w:sz w:val="24"/>
                <w:rtl w:val="0"/>
              </w:rPr>
              <w:t xml:space="preserve">2p]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pirmās daļas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7</w:t>
            </w:r>
            <w:r w:rsidR="00000000" w:rsidRPr="00000000" w:rsidDel="00000000">
              <w:rPr>
                <w:sz w:val="24"/>
                <w:rtl w:val="0"/>
              </w:rPr>
              <w:t xml:space="preserve">3p]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7</w:t>
            </w:r>
            <w:r w:rsidR="00000000" w:rsidRPr="00000000" w:rsidDel="00000000">
              <w:rPr>
                <w:sz w:val="24"/>
                <w:rtl w:val="0"/>
              </w:rPr>
              <w:t xml:space="preserve">1p]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trešā daļa (a) un (b)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8</w:t>
            </w:r>
            <w:r w:rsidR="00000000" w:rsidRPr="00000000" w:rsidDel="00000000">
              <w:rPr>
                <w:sz w:val="24"/>
                <w:rtl w:val="0"/>
              </w:rPr>
              <w:t xml:space="preserve">p un 130.</w:t>
            </w:r>
            <w:r w:rsidR="00000000" w:rsidRPr="00000000" w:rsidDel="00000000">
              <w:rPr>
                <w:sz w:val="24"/>
                <w:vertAlign w:val="superscript"/>
                <w:rtl w:val="0"/>
              </w:rPr>
              <w:t xml:space="preserve">9</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18</w:t>
            </w:r>
            <w:r w:rsidR="00000000" w:rsidRPr="00000000" w:rsidDel="00000000">
              <w:rPr>
                <w:sz w:val="24"/>
                <w:rtl w:val="0"/>
              </w:rPr>
              <w:t xml:space="preserve">p un 130.</w:t>
            </w:r>
            <w:r w:rsidR="00000000" w:rsidRPr="00000000" w:rsidDel="00000000">
              <w:rPr>
                <w:sz w:val="24"/>
                <w:vertAlign w:val="superscript"/>
                <w:rtl w:val="0"/>
              </w:rPr>
              <w:t xml:space="preserve">25</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nav transponēta redakcionāli, bet tajā minētais izpildīts pēc būtības t.i. vienlaikus ar prasībām velosipēdu stāvvietu ierīkošanai, 130.</w:t>
            </w:r>
            <w:r w:rsidR="00000000" w:rsidRPr="00000000" w:rsidDel="00000000">
              <w:rPr>
                <w:sz w:val="24"/>
                <w:vertAlign w:val="superscript"/>
                <w:rtl w:val="0"/>
              </w:rPr>
              <w:t xml:space="preserve">18</w:t>
            </w:r>
            <w:r w:rsidR="00000000" w:rsidRPr="00000000" w:rsidDel="00000000">
              <w:rPr>
                <w:sz w:val="24"/>
                <w:rtl w:val="0"/>
              </w:rPr>
              <w:t xml:space="preserve"> punktā noteikta iespēja velosipēdu stāvvietu skaitu samazināt, ja to pamato ar vai bez atsauces uz lolāku situācijas analīzi vai individuāli, kas nozīmē administratībvā sloga pieaugumu. Lai samazinātu administratīvo slogu, 130.</w:t>
            </w:r>
            <w:r w:rsidR="00000000" w:rsidRPr="00000000" w:rsidDel="00000000">
              <w:rPr>
                <w:sz w:val="24"/>
                <w:vertAlign w:val="superscript"/>
                <w:rtl w:val="0"/>
              </w:rPr>
              <w:t xml:space="preserve">25</w:t>
            </w:r>
            <w:r w:rsidR="00000000" w:rsidRPr="00000000" w:rsidDel="00000000">
              <w:rPr>
                <w:sz w:val="24"/>
                <w:rtl w:val="0"/>
              </w:rPr>
              <w:t xml:space="preserve">punktā vienlaikus tiek noteikti arī kritēriji un iespējamie izņēmumi.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piektā daļas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11</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piektā daļas otrais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19</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16</w:t>
            </w:r>
            <w:r w:rsidR="00000000" w:rsidRPr="00000000" w:rsidDel="00000000">
              <w:rPr>
                <w:sz w:val="24"/>
                <w:rtl w:val="0"/>
              </w:rPr>
              <w:t xml:space="preserve">p un 130.</w:t>
            </w:r>
            <w:r w:rsidR="00000000" w:rsidRPr="00000000" w:rsidDel="00000000">
              <w:rPr>
                <w:sz w:val="24"/>
                <w:vertAlign w:val="superscript"/>
                <w:rtl w:val="0"/>
              </w:rPr>
              <w:t xml:space="preserve">17</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[nosaka jaunu 130.</w:t>
            </w:r>
            <w:r w:rsidR="00000000" w:rsidRPr="00000000" w:rsidDel="00000000">
              <w:rPr>
                <w:sz w:val="24"/>
                <w:vertAlign w:val="superscript"/>
                <w:rtl w:val="0"/>
              </w:rPr>
              <w:t xml:space="preserve">10</w:t>
            </w:r>
            <w:r w:rsidR="00000000" w:rsidRPr="00000000" w:rsidDel="00000000">
              <w:rPr>
                <w:sz w:val="24"/>
                <w:rtl w:val="0"/>
              </w:rPr>
              <w:t xml:space="preserve">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panta 1.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[nosaka informatīvo atsauci]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22.punkts pieļauj, ka dalībvalstis var izvēlēties piemērot a) vai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šo izvēli par b) apakšpunkta variantu ir izdarījusi transponējot Eiropas Parlamenta un Padomes 2010. gada 19. maija Direktīvas 2010/31/ES par ēku energoefektivitāti 2.panta 10.punktu, kā rezultātā Latvijas būvnormatīva LBN 002-19 "Ēku norobežojošo konstrukciju siltumtehnika" 12.punktā jau pašlaik noteikts, ka "Ja atjaunošana vai pārbūve skar mazāk par 25 % no ēkas būves elementu kopējās laukuma virsmas, var nepiemērot šā būvnormatīva 9. punktā minētās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lemts turpināt izvēlēties b) variantu, jo tas rada salīdzinoši mazāko administratīvo slogu un ir saprotams no būvniecības ieceres tvēruma un tehniskajiem parametriem. a) variants netiek uzskatīts par labāku, jo tādā gadījumā būtu papildus jānosaka kārtība vērtības noteikšanas metodikai un, ja tā kādā veidā būtu saistīta ar Nekustamā īpašuma valsts kadastra informācijas sistēmā aprēķināto kadastrālo vērtību, tad a) variants būtu saistīts ar papildus sarežģījumiem un jautājumiem par to, kura vērtību (fiskālo kadastrālo vērtību vai universālo kadastrālo vērtību), kā un par to vai būtu jāņem vērā, kadastrālo vērtību samazinošs koeficients (0,8). Situācijās, kad kadastrālā vērtība nebūtu 1:1 atbilstoša faktiskajai tirgus situācijai būtu papildus riski, kas saistīti ar "nozīmīgas renovācijas" prasību attiecināšanu tikai dēļ pārāk zemes ēkas vērtības noteikšanas, kas nav atbalstāmi. a) varianta gadījumā jebkurā no situācijām būtu jānosaka jauns administratīvais process saistībā nepieciešamību individuālam objektam (ēkai) noteikt tirgus vērtību, kas tiešā veidā varētu kalpot kā "atskaites punkts" nozīmīgas definīcijas kritērija izvērtēšanai, vai arī būtu kadastrālo vērtību precizējoša informācija, ja tiktu lemts izmantot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4.punkts pieļauj dalībvalstīm lemt 7.panta 1. un 2. punktu nepiemērot tām ēkām, kurām līdz 7.panta 1. un 2. punktā minētajiem datumiem jau ir iesniegti būvatļaujas pieteikumi vai līdzvērtīgi pieteikumi, tostarp pieteikums izmantojuma maiņai. Minētā rīcības brīvība tiek izmantota paredzot noteikt jaunu 180.punktu, tādā veidā attiecīgās prasības piemērošanas principu salāgojot ar citu projektēšanā piemērojamo minimālo tehnisko prasību piemērošanu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4.punkta 3.daļa paredz, ka </w:t>
            </w:r>
            <w:r w:rsidR="00000000" w:rsidRPr="00000000" w:rsidDel="00000000">
              <w:rPr>
                <w:sz w:val="24"/>
                <w:i w:val="1"/>
                <w:rtl w:val="0"/>
              </w:rPr>
              <w:t xml:space="preserve">“[t]ransponējot 3. punkta pirmajā daļā noteiktos pienākumus, dalībvalsts ēku lietderīgās platības mērvienības vietā </w:t>
            </w:r>
            <w:r w:rsidR="00000000" w:rsidRPr="00000000" w:rsidDel="00000000">
              <w:rPr>
                <w:sz w:val="24"/>
                <w:i w:val="1"/>
                <w:u w:val="single"/>
                <w:rtl w:val="0"/>
              </w:rPr>
              <w:t xml:space="preserve">var</w:t>
            </w:r>
            <w:r w:rsidR="00000000" w:rsidRPr="00000000" w:rsidDel="00000000">
              <w:rPr>
                <w:sz w:val="24"/>
                <w:i w:val="1"/>
                <w:rtl w:val="0"/>
              </w:rPr>
              <w:t xml:space="preserve"> izmantot ēku pamatstāva platību, ja dalībvalsts pierāda, ka tā rezultātā uz ēkām uzstādīto piemērotu saules enerģijas iekārtu jauda ir līdzvērtīga”</w:t>
            </w:r>
            <w:r w:rsidR="00000000" w:rsidRPr="00000000" w:rsidDel="00000000">
              <w:rPr>
                <w:sz w:val="24"/>
                <w:rtl w:val="0"/>
              </w:rPr>
              <w:t xml:space="preserve">. Latvijā būves dati tiek reģistrēti, uzturēti un aktualizēti  Nekustamā īpašuma valsts kadastra informācijas sistēmā, kurā par ēku tiek uzturēta informācija par tās "kopējo platību", kas saturiski atbilst Direktīvas 2024/1275 2.panta 51.punktā noteiktajam, proti,</w:t>
            </w:r>
            <w:r w:rsidR="00000000" w:rsidRPr="00000000" w:rsidDel="00000000">
              <w:rPr>
                <w:sz w:val="24"/>
                <w:i w:val="1"/>
                <w:rtl w:val="0"/>
              </w:rPr>
              <w:t xml:space="preserve"> ""lietderīgā grīdas platība" ir ēkas grīdas platība, kas nepieciešama kā parametrs, lai kvantificētu specifiskus izmantošanas apstākļus, kas izteikti uz grīdas platības vienību, un lai piemērotu vienkāršojumus un zonējuma un dalīšanas vai pārdalīšanas noteikumu". </w:t>
            </w:r>
            <w:r w:rsidR="00000000" w:rsidRPr="00000000" w:rsidDel="00000000">
              <w:rPr>
                <w:sz w:val="24"/>
                <w:rtl w:val="0"/>
              </w:rPr>
              <w:t xml:space="preserve">Nekustamā īpašuma valsts kadastra informācijas sistēmā par ēku netiek reģistrēta, uzturēta un aktualizēta informācija par </w:t>
            </w:r>
            <w:r w:rsidR="00000000" w:rsidRPr="00000000" w:rsidDel="00000000">
              <w:rPr>
                <w:sz w:val="24"/>
                <w:i w:val="1"/>
                <w:rtl w:val="0"/>
              </w:rPr>
              <w:t xml:space="preserve">"pamatstāva platību"</w:t>
            </w:r>
            <w:r w:rsidR="00000000" w:rsidRPr="00000000" w:rsidDel="00000000">
              <w:rPr>
                <w:sz w:val="24"/>
                <w:rtl w:val="0"/>
              </w:rPr>
              <w:t xml:space="preserve"> vai stāva platību, vai platību konkrētam ēkas stāvam, vai platību visiem </w:t>
            </w:r>
            <w:r w:rsidR="00000000" w:rsidRPr="00000000" w:rsidDel="00000000">
              <w:rPr>
                <w:sz w:val="24"/>
                <w:i w:val="1"/>
                <w:rtl w:val="0"/>
              </w:rPr>
              <w:t xml:space="preserve">"pamatstāviem"</w:t>
            </w:r>
            <w:r w:rsidR="00000000" w:rsidRPr="00000000" w:rsidDel="00000000">
              <w:rPr>
                <w:sz w:val="24"/>
                <w:rtl w:val="0"/>
              </w:rPr>
              <w:t xml:space="preserve"> kopā. Minēto iemeslu dēļ attiecīgā rīcības brīvība </w:t>
            </w:r>
            <w:r w:rsidR="00000000" w:rsidRPr="00000000" w:rsidDel="00000000">
              <w:rPr>
                <w:sz w:val="24"/>
                <w:u w:val="single"/>
                <w:rtl w:val="0"/>
              </w:rPr>
              <w:t xml:space="preserve">netiek</w:t>
            </w:r>
            <w:r w:rsidR="00000000" w:rsidRPr="00000000" w:rsidDel="00000000">
              <w:rPr>
                <w:sz w:val="24"/>
                <w:rtl w:val="0"/>
              </w:rPr>
              <w:t xml:space="preserve">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5.punkts nosaka prasības ierīkot iekštelpu gaisa kvalitātes monitoringam un regulēšanai domātām mērierīcēm un vadības ierīcēm </w:t>
            </w:r>
            <w:r w:rsidR="00000000" w:rsidRPr="00000000" w:rsidDel="00000000">
              <w:rPr>
                <w:sz w:val="24"/>
                <w:u w:val="single"/>
                <w:rtl w:val="0"/>
              </w:rPr>
              <w:t xml:space="preserve">nedzīvojamām ēkām </w:t>
            </w:r>
            <w:r w:rsidR="00000000" w:rsidRPr="00000000" w:rsidDel="00000000">
              <w:rPr>
                <w:sz w:val="24"/>
                <w:rtl w:val="0"/>
              </w:rPr>
              <w:t xml:space="preserve">un to, ka dalībvalstis šo prasību </w:t>
            </w:r>
            <w:r w:rsidR="00000000" w:rsidRPr="00000000" w:rsidDel="00000000">
              <w:rPr>
                <w:sz w:val="24"/>
                <w:u w:val="single"/>
                <w:rtl w:val="0"/>
              </w:rPr>
              <w:t xml:space="preserve">var</w:t>
            </w:r>
            <w:r w:rsidR="00000000" w:rsidRPr="00000000" w:rsidDel="00000000">
              <w:rPr>
                <w:sz w:val="24"/>
                <w:rtl w:val="0"/>
              </w:rPr>
              <w:t xml:space="preserve"> noteikt arī dzīvojamām ēkām, tātad atstājot dalībvalsts izvēles iespēju. Minētā iespēja tiek izmantota un attiecīgā prasība netiek noteikta kā obligāti attiecināma arī uz dzīvojamām ēkām. Būtiskākais iemesls attiecīgo prasību nenoteikšanai ir saistīts ar nepieciešamību nesadārdzināt dzīvojamo ēku būvniecību, attiecīgi, nepasliktinot mājokļu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11.punkta pēdējais teikums nosaka dalībvalsts iespēju 13.panta 11.punkta prasības neattiecināt uz vienģimenes mājām, kurās veic nozīmīgu renovāciju, ja uzstādīšanas izmaksas pārsniedz ieguvumus. Minētā iespēja tiek izmantota un attiecīgā prasības par nepārtrauktu elektronisku uzraudzību, spēju reaģēt uz ārējiem signāliem u.c. neattiecina uz viena dzīvokļa māju, jo lemts šo jautājumu izlemšanai uzticēt katras viena dzīvokļa mājas īpašniekam, kas visbiežāk attiecīgo ēku paredz un būvē atbilstoši savām tā brīža iespējām, turklāt, liela daļa no šādām ēkām ir līdz 60m</w:t>
            </w:r>
            <w:r w:rsidR="00000000" w:rsidRPr="00000000" w:rsidDel="00000000">
              <w:rPr>
                <w:sz w:val="24"/>
                <w:vertAlign w:val="superscript"/>
                <w:rtl w:val="0"/>
              </w:rPr>
              <w:t xml:space="preserve">2, </w:t>
            </w:r>
            <w:r w:rsidR="00000000" w:rsidRPr="00000000" w:rsidDel="00000000">
              <w:rPr>
                <w:sz w:val="24"/>
                <w:rtl w:val="0"/>
              </w:rPr>
              <w:t xml:space="preserve">kas Latvijā tiek pieļautas ar paziņojumu par būvniecību, tātad, bet obligātas būvvaldes vai citas uzraugošās institūcijas obligātu iesaistīšanas.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(c) apakšpunkts paredz dalībvalsts iespēju kā kritēriju izvēlēties 15 % no nedzīvojamo ēku vidējās lietotāju kapacitātes </w:t>
            </w:r>
            <w:r w:rsidR="00000000" w:rsidRPr="00000000" w:rsidDel="00000000">
              <w:rPr>
                <w:sz w:val="24"/>
                <w:u w:val="single"/>
                <w:rtl w:val="0"/>
              </w:rPr>
              <w:t xml:space="preserve">vai</w:t>
            </w:r>
            <w:r w:rsidR="00000000" w:rsidRPr="00000000" w:rsidDel="00000000">
              <w:rPr>
                <w:sz w:val="24"/>
                <w:rtl w:val="0"/>
              </w:rPr>
              <w:t xml:space="preserve"> 10 % no kopējās lietotāju kapacitātes. Komisijas paziņojuma 9. pielikuma 4.8.1.p</w:t>
            </w:r>
            <w:r w:rsidR="00000000" w:rsidRPr="00000000" w:rsidDel="00000000">
              <w:rPr>
                <w:sz w:val="24"/>
                <w:i w:val="1"/>
                <w:rtl w:val="0"/>
              </w:rPr>
              <w:t xml:space="preserve"> "[..] dalībvalstis var brīvi izvēlēties </w:t>
            </w:r>
            <w:r w:rsidR="00000000" w:rsidRPr="00000000" w:rsidDel="00000000">
              <w:rPr>
                <w:sz w:val="24"/>
                <w:i w:val="1"/>
                <w:u w:val="single"/>
                <w:rtl w:val="0"/>
              </w:rPr>
              <w:t xml:space="preserve">vai</w:t>
            </w:r>
            <w:r w:rsidR="00000000" w:rsidRPr="00000000" w:rsidDel="00000000">
              <w:rPr>
                <w:sz w:val="24"/>
                <w:i w:val="1"/>
                <w:rtl w:val="0"/>
              </w:rPr>
              <w:t xml:space="preserve"> nu kopējo, </w:t>
            </w:r>
            <w:r w:rsidR="00000000" w:rsidRPr="00000000" w:rsidDel="00000000">
              <w:rPr>
                <w:sz w:val="24"/>
                <w:i w:val="1"/>
                <w:u w:val="single"/>
                <w:rtl w:val="0"/>
              </w:rPr>
              <w:t xml:space="preserve">vai</w:t>
            </w:r>
            <w:r w:rsidR="00000000" w:rsidRPr="00000000" w:rsidDel="00000000">
              <w:rPr>
                <w:sz w:val="24"/>
                <w:i w:val="1"/>
                <w:rtl w:val="0"/>
              </w:rPr>
              <w:t xml:space="preserve"> vidējo lietotāju kapacitāti kā rādītāju, ko izmantot par pamatu prasībām par velosipēdu stāvvietas vietām.  Tās var, piemēram, izvēlēties visvieglāk pieejamo rādītāju, kas rada mazāko iespējam administratīvo slogu ēku īpašniekiem.". </w:t>
            </w:r>
            <w:r w:rsidR="00000000" w:rsidRPr="00000000" w:rsidDel="00000000">
              <w:rPr>
                <w:sz w:val="24"/>
                <w:rtl w:val="0"/>
              </w:rPr>
              <w:t xml:space="preserve">Atbilstoši izvēles iespējām, tiek izvēlēts kritērijs 10% no kopējā lietotāju kapacitātes kā kritērijs, kas salīdzinoši radītu vismazāko iespējamo administratīvo slogu, jo tad nevajadzēs veikt aprēķinus vai uzskaiti par to, kāda būtu vidējā lietotāju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3.punkts nosaka dalībvalsts iespēju velosipēdu stāvvietas jomas prasības koriģēt konkrētām nedzīvojamo ēku kategorijām, kurām parasti ar velosipēdu nepiekļūst. Minētā iespēja tiek izmantota 130.</w:t>
            </w:r>
            <w:r w:rsidR="00000000" w:rsidRPr="00000000" w:rsidDel="00000000">
              <w:rPr>
                <w:sz w:val="24"/>
                <w:vertAlign w:val="superscript"/>
                <w:rtl w:val="0"/>
              </w:rPr>
              <w:t xml:space="preserve">24</w:t>
            </w:r>
            <w:r w:rsidR="00000000" w:rsidRPr="00000000" w:rsidDel="00000000">
              <w:rPr>
                <w:sz w:val="24"/>
                <w:rtl w:val="0"/>
              </w:rPr>
              <w:t xml:space="preserve">punktā nosakot kritērijus un iespējamos izņēmumus, jo pretējā gadījumā prasība ierīkot velostāvvietas nebūtu loģiska.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ceturtā daļa nosaka, iespēju dzīvojamo ēku velosipēdu stāvvietu skaitu koriģēt "</w:t>
            </w:r>
            <w:r w:rsidR="00000000" w:rsidRPr="00000000" w:rsidDel="00000000">
              <w:rPr>
                <w:sz w:val="24"/>
                <w:i w:val="1"/>
                <w:rtl w:val="0"/>
              </w:rPr>
              <w:t xml:space="preserve">ņemot vērā vietējo iestāžu novērtējumu un vietējās īpatnības, tostarp demogrāfiskos, ģeogrāfiskos un klimatiskos apstākļus". </w:t>
            </w:r>
            <w:r w:rsidR="00000000" w:rsidRPr="00000000" w:rsidDel="00000000">
              <w:rPr>
                <w:sz w:val="24"/>
                <w:rtl w:val="0"/>
              </w:rPr>
              <w:t xml:space="preserve">Minēto rīcības brīvību paredzēts izmantot ar regulējumu 130.</w:t>
            </w:r>
            <w:r w:rsidR="00000000" w:rsidRPr="00000000" w:rsidDel="00000000">
              <w:rPr>
                <w:sz w:val="24"/>
                <w:vertAlign w:val="superscript"/>
                <w:rtl w:val="0"/>
              </w:rPr>
              <w:t xml:space="preserve">18</w:t>
            </w:r>
            <w:r w:rsidR="00000000" w:rsidRPr="00000000" w:rsidDel="00000000">
              <w:rPr>
                <w:sz w:val="24"/>
                <w:rtl w:val="0"/>
              </w:rPr>
              <w:t xml:space="preserve"> punktā, proti, nosakot, ka </w:t>
            </w:r>
            <w:r w:rsidR="00000000" w:rsidRPr="00000000" w:rsidDel="00000000">
              <w:rPr>
                <w:sz w:val="24"/>
                <w:i w:val="1"/>
                <w:rtl w:val="0"/>
              </w:rPr>
              <w:t xml:space="preserve">"[..] prasības par velosipēdu stāvvietu skaitu var koriģēt ar būvspeciālista pamatojumu, kas iekļauj arī novērtējumu par vietējām īpatnībām, attiecīgo pamatojumu pievienojot vai iekļaujot būvniecības ieceres dokumentācijā". </w:t>
            </w:r>
            <w:r w:rsidR="00000000" w:rsidRPr="00000000" w:rsidDel="00000000">
              <w:rPr>
                <w:sz w:val="24"/>
                <w:rtl w:val="0"/>
              </w:rPr>
              <w:t xml:space="preserve">Ņemot vērā, ka šāda pieeja vienlaikus nozīmē arī administratīvā sloga pieaugumu, to mēģināts pēc iespējas samazināt jau regulējumā nosakot izņēmumus dzīvojamām ēkām (130.</w:t>
            </w:r>
            <w:r w:rsidR="00000000" w:rsidRPr="00000000" w:rsidDel="00000000">
              <w:rPr>
                <w:sz w:val="24"/>
                <w:vertAlign w:val="superscript"/>
                <w:rtl w:val="0"/>
              </w:rPr>
              <w:t xml:space="preserve">25</w:t>
            </w:r>
            <w:r w:rsidR="00000000" w:rsidRPr="00000000" w:rsidDel="00000000">
              <w:rPr>
                <w:sz w:val="24"/>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5.punkts paredz rīcības brīvību (iespēju noteikt atvieglojumu). Minētā iespēja tiek izmantota un iespējamie atvieglojumi ir noteikti noteikumu projekta 1.6. punktā [nosakot jaunu 130.</w:t>
            </w:r>
            <w:r w:rsidR="00000000" w:rsidRPr="00000000" w:rsidDel="00000000">
              <w:rPr>
                <w:sz w:val="24"/>
                <w:vertAlign w:val="superscript"/>
                <w:rtl w:val="0"/>
              </w:rPr>
              <w:t xml:space="preserve">16</w:t>
            </w:r>
            <w:r w:rsidR="00000000" w:rsidRPr="00000000" w:rsidDel="00000000">
              <w:rPr>
                <w:sz w:val="24"/>
                <w:rtl w:val="0"/>
              </w:rPr>
              <w:t xml:space="preserve">p un 130.</w:t>
            </w:r>
            <w:r w:rsidR="00000000" w:rsidRPr="00000000" w:rsidDel="00000000">
              <w:rPr>
                <w:sz w:val="24"/>
                <w:vertAlign w:val="superscript"/>
                <w:rtl w:val="0"/>
              </w:rPr>
              <w:t xml:space="preserve">17</w:t>
            </w:r>
            <w:r w:rsidR="00000000" w:rsidRPr="00000000" w:rsidDel="00000000">
              <w:rPr>
                <w:sz w:val="24"/>
                <w:rtl w:val="0"/>
              </w:rPr>
              <w:t xml:space="preserve">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9. pielikuma 4.1. punkts paredz, ka dalībvalstis var apsvērt iespēju paredzēt noteiktu elastību, izstrādājot savas prasības par uzlādes punktiem ēku kategorijai, kurai stāvvietas parasti tiek izmantotas uz lauku līdz divām stundām, piemēram, pie tirdzniecības ēkām. Minētā iespēja tiek izmantota noteikumu projektā [ar jaunu 130.</w:t>
            </w:r>
            <w:r w:rsidR="00000000" w:rsidRPr="00000000" w:rsidDel="00000000">
              <w:rPr>
                <w:sz w:val="24"/>
                <w:vertAlign w:val="superscript"/>
                <w:rtl w:val="0"/>
              </w:rPr>
              <w:t xml:space="preserve">22</w:t>
            </w:r>
            <w:r w:rsidR="00000000" w:rsidRPr="00000000" w:rsidDel="00000000">
              <w:rPr>
                <w:sz w:val="24"/>
                <w:rtl w:val="0"/>
              </w:rPr>
              <w:t xml:space="preserve">.punktu] nosakot iespēju kvantitatīvos rādītājus (uzlādes punktu skaitu) koriģēt (samazināt) to kompensējot ar kvalitatīvo rādītāju palielināšanu, proti, uzstādot lieljaudas uzlādes punktus. Minētā elastība paredz, ka vietās, kur lielāka uzlādes punktu jauda varētu būt efektīvāka un piemērotāja, ir jānodrošina tāda pati jauda, kādu nodrošinātu parastas jaudas uzlādes punkti, ja tie būtu ar 11kW jaudu.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Komisijas paziņojuma 8.pielikuma 3.3. punktam </w:t>
            </w:r>
            <w:r w:rsidR="00000000" w:rsidRPr="00000000" w:rsidDel="00000000">
              <w:rPr>
                <w:sz w:val="24"/>
                <w:i w:val="1"/>
                <w:rtl w:val="0"/>
              </w:rPr>
              <w:t xml:space="preserve">"Attiecībā uz saules enerģijas iekārtu izvietošanu jaunās ēkās dalībvalstis var izvēlēties piemērot prasības tikai tām ēkām, par kurām būvatļaujas pieteikumi vai līdzvērtīgi pieteikumi ir iesniegti pēc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iespēja tiek izmantota noteikumu projektā nosakot iespēju nepiemērot saules enerģijas jomas prasības jaunai ēkai, ja būvatļaujas pieteikumi vai līdzvērtīgi pieteikumi ir iesniegti līdz 130.5 attiecīgā apakšpunkta piemērošanas datumam.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https://tapportals.mk.gov.lv/public_participation/a7868505-bac6-441c-b22d-a6f38c71fddb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saņemti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"Lidl Latvija" - iebildumi daudz un plašā tvērumā, kas ņemti vērā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"Rimi Latvia" - iebildumi daudz un plašā tvērumā (iesniegti pie cita projekta (25-TA-1380), bet attiecās arī uz šo noteikumu projektu (25-TA-1187)). Iebildumi ņemti vērā iespēju robežās. Vairāk informācija sabiedrības līdzdalības rezultātu apkopojumā: https://tapportals.mk.gov.lv/public_participation/2eac063b-1d6d-4718-a132-b4d64022dd55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 “Sadales tīkls” - visi iebildumi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attīstītāju alianse" - sniedza info., ka viedokli vēl sniegs, taču netika iesniegts.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valsts institūcija, kas veic būvju jaunu būvniecību vai nozīmīgu atjaunošan, vai pamatīgu atjaunošanu.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autostāvvietām (tajā skaitā pie ēkas esošajām) nosaka prasības projektēšanās ietvarā paredzēt uzlādes punktu ierīkošanu un uzlādes punktiem nepieciešamo kabeļu iepriekšēju ierīkošanu, ja autostāvvieta atrodas fiziski blakus ēkai un, nozīmīgas atjaunošanas gadījumā, atjaunošanas pasākumi aptver autostāvvietu vai autostāvvietas elektroinfrastruktūru. Papildus tiek noteiktas prasības velosipēdu stāvvietu ierīkošanai. Minēto prasību izpilde ilgtermiņā nodrošinātu elektrotransportlīdzekļu un velosipēdu izmantošanai labvēlīgākas teritorijas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ēku energoefektivitāti, tiek samazināta apkurei un ventilācijai patērētā enerģija, kas samazina tās ietekmi uz vidi. Noteikumu projekts veicina ēku energosnieguma uzlabošanu, primārās enerģijas patēriņa un siltumnīcefekta gāzu emisiju samazināšanu, kā arī atjaunojamo energoresursu izmantošanu. Ilgtermiņā tas pozitīvi ietekmē vidi, sekmējot ēku fonda dekarbonizāciju un klimata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ēku energoefektivitāti, tiek samazināta apkurei un ventilācijai patērētā enerģija, kas samazina tās ietekmi uz vidi. Noteikumu projekts veicina ēku energosnieguma uzlabošanu, primārās enerģijas patēriņa un siltumnīcefekta gāzu emisiju samazināšanu, kā arī atjaunojamo energoresursu izmantošanu. Ilgtermiņā tas pozitīvi ietekmē vidi, sekmējot ēku fonda dekarbonizāciju un klimata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minimālās tehniskās prasības vides pieejamības jomā nosaka kā saistošas arī ēkām, kurās veic nozīmīgu atjaunošanu. Tas palielina to būvniecību ieceru tvērumu, kurās attiecīgās minimālās tehniskās prasības ir saistošas cik tālu, tas ir tehniski un ekonomiski pamatoti.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25-TA-1187</w:t>
    </w:r>
    <w:r>
      <w:br/>
    </w:r>
    <w:r w:rsidR="00000000" w:rsidRPr="00000000" w:rsidDel="00000000">
      <w:rPr>
        <w:rtl w:val="0"/>
      </w:rPr>
      <w:t xml:space="preserve">Izdrukāts 29.07.2026. 23.22 - 7.0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25-TA-1187</w:t>
    </w:r>
    <w:r>
      <w:br/>
    </w:r>
    <w:r w:rsidR="00000000" w:rsidRPr="00000000" w:rsidDel="00000000">
      <w:rPr>
        <w:rtl w:val="0"/>
      </w:rPr>
      <w:t xml:space="preserve">Izdrukāts 29.07.2026. 23.22 - 7.0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anotācija_(ex_ante)_25-TA-1187.docx</dc:title>
</cp:coreProperties>
</file>

<file path=docProps/custom.xml><?xml version="1.0" encoding="utf-8"?>
<Properties xmlns="http://schemas.openxmlformats.org/officeDocument/2006/custom-properties" xmlns:vt="http://schemas.openxmlformats.org/officeDocument/2006/docPropsVTypes"/>
</file>