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Alternatīvo ieguldījumu fondu un to pārvaldnieku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Alternatīvo ieguldījumu fondu un to pārvaldnieku likumā” (turpmāk - likumprojekts) izstrādāts, lai pārņemtu Eiropas Parlamenta un Padomes 2024. gada 13. marta direktīvu (ES) 2024/927 ar ko groza direktīvas 2011/61/ES un 2009/65/EK attiecībā uz vienošanos par deleģēšanu, likviditātes riska pārvaldību, uzraudzības pārskatu sniegšanu, depozitāriju un turētājbanku pakalpojumu sniegšanu un aizdevumu izsniegšanu, ko veic alternatīvo ieguldījumu fondi (turpmāk – Direktīva Nr. 2024/927).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pārņemtas Direktīvas Nr. 2024/927 prasības - precizēti noteikumi alternatīvo ieguldījumu fondu pārvaldniekiem (turpmāk - AIFP), kas pārvalda alternatīvo ieguldījumu fondus (turpmāk - AIF), kuri izsniedz aizdevumus, precizētas prasības, kas piemērojamas AIFP, kuri deleģē savas funkcijas, harmonizēts regulējums turētājbanku pakalpojumu sniedzējiem, paplašināta piekļuve turētājbanku pakalpojumiem citā dalībvalstī, optimizēta uzraudzības datu vākšana un veicināta likviditātes pārvaldības instrumentu lietošana Eiropas Savienībā.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16.aprīlim ir nepieciešams pārņemt Direktīvas Nr. 2024/927 1. pantu, veicot grozījumus Alternatīvo ieguldījumu fondu un to pārvaldnieku likumā. Grozījumi nepieciešami, lai noteiktu prasības AIFP, kas pārvalda AIF, kuri izsniedz aizdevumus, tāpat arī nepieciešams precizēt prasības, kas piemērojamas AIFP, kuri deleģē savas funkcijas trešajām personām, nodrošināt vienlīdzīgu regulējumu turētājbanku pakalpojumu sniedzējiem, paplašināt piekļuvi turētājbanku pakalpojumiem citā dalībvalstī, optimizēt uzraudzības datu vākšanu un veicināt likviditātes pārvaldības instrumentu lietošanu Eiropas Savienībā. Grozījumi ir vajadzīgi, lai uzlabotu Alternatīvo ieguldījumu fondu un to pārvaldnieku likuma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normatīvais akts, kurā pārņemtas Eiropas Parlamenta un Padomes 2011. gada 8. jūnija direktīvas 2011/61/ES par alternatīvo ieguldījumu fondu pārvaldniekiem un par grozījumiem direktīvā 2003/41/EK, direktīvā 2009/65/EK, regulā (EK) Nr. 1060/2009 un regulā (ES) Nr. 1095/2010 (turpmāk - Direktīva Nr. 2011/61) noteiktās AIFP darbību regulējošās prasības, ir Alternatīvo ieguldījumu fondu un to pārvaldnieku likums, lai pārņemtu Direktīvas Nr. 2024/927 1.pantu, ir jāveic grozījumi Alternatīvo ieguldījumu fondu un to pārvaldnieku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prasības AIFP, kas pārvalda AIF, kuri izsniedz aizdevumus, kā arī precizēt prasības, kas piemērojamas AIFP, kuri deleģē savas funkcijas trešajām personām. Tāpat arī nepieciešams nodrošināt vienlīdzīgu regulējumu struktūrām, kuras sniedz turētājbanku pakalpojumus, paplašināt piekļuvi turētājbanku  pakalpojumiem citā dalībvalstī, optimizēt uzraudzības datu vākšanu un veicināt likviditātes pārvaldības instrumentu lietošanu Eiropas Savienībā. Lai stiprinātu pastāvīgas AIFP vadības kapacitāti dalībvalstī, līdzšinējās prasības nodrošināt AIFP vadībā vismaz divas  amatpersonas, kas  ir kompetentas tā pārvaldē esošā fonda izraudzītās ieguldījumu stratēģijas īstenošanā, papildinātas ar nosacījumu, ka šīs amatpersonas uz pilnu slodzi ir nodarbinātas AIFP un viņu pastāvīgā dzīvesvieta ir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juridisko noteiktību, būtu jāprecizē, ka AIF pārvaldība var ietvert arī tādas darbības kā aizdevumu izsniegšana AIF vārdā un īpašam nolūkam izveidotu struktūru vērtspapirizācijas apkalpošana.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AIFP darbību efektivitāti un paplašinātu sniedzamo pakalpojumu loku, nepieciešams noteikt, ka AIFP drīkst veikt etalonu administrēšanu saskaņā ar Eiropas Parlamenta un Padomes 2016. gada 8. jūnija regulu (ES) 2016/1011 par indeksiem, ko izmanto kā etalonus finanšu instrumentos un finanšu līgumos vai ieguldījumu fondu darbības rezultātu mērīšanai, un ar kuru groza direktīvu 2008/48/EK, direktīvu 2014/17/ES un regulu (ES) Nr. 596/2014, kā arī veikt kredītu apkalpošanas darbības saskaņā ar Parādu ārpustiesas atgūšanas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uzlabot juridisko noteiktību AIFP pakalpojumu sniegšanai trešajām personām, atļaujot tām sniegt tos pašus pakalpojumus  un darbības, ko tās jau veic attiecībā uz to pārvaldītajiem AIF, ar noteikumu, ka jebkāds iespējamais interešu konflikts, ko rada šādas darbības nodrošināšana trešajām personām, tiek pienācīgi pārvaldīts. Šādas funkcijas un darbības ietver korporatīvos pakalpojumus, piemēram, cilvēkresursu un  informācijas tehnoloģiju jomās, kā arī informācijas tehnoloģiju pakalpojumus portfeļa pārvaldībai un risku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rada situācijas, kurā no AIFP jau licences saņemšanas brīdī tiek sagaidīta plaša informācija un dokumenti par dažādiem pārvaldības aspektiem. Šāda prasība ir grūti izpildāma subjektiem, kuri tikai uzsāk darbību, jo sākotnējā posmā procesi vēl tiek izstrādāti, pilnveidoti un pielāgoti, balstoties uz praktisko pieredzi. Tas var radīt nesamērīgu administratīvo slogu un formālu pieeju dokumentu izstrādei, nevis veicināt kvalitatīvu un efektīvu pārvaldības sistēmu. Tādēļ, piemērojot uz riskiem balstītu pieeju, ir nepieciešams pārskatīt prasības attiecībā uz iesniedzamo informāciju licences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Alternatīvo ieguldījumu fondu un to pārvaldnieku likumā no Direktīvas Nr. 2011/61 pārņemtās prasības pilnā apmērā piemēro licencētiem AIFP. Reģistrētiem AIFP, ņemot vērā iespēju AIF izplatīt privātiem ieguldītājiem, ir noteikts stingrāks režīms, nekā to pieļauj Direktīva Nr. 2011/61 - reģistrēti AIFP nedrīkst pārvaldīt fondus ar augstāku risku - atvērtus fondus, kā arī tādus fondus, kas savā darbībā izmanto sviras finansējumu. AIFP nozares ieskatos, Alternatīvo ieguldījumu fondu un to pārvaldnieku likumā noteiktie kritēriji ierobežo reģistrētu AIFP darbības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 AIFP darbības uzraudzība faktiski gulstas uz pašiem AIF ieguldītājiem, kuri var būt ne tikai profesionāli ieguldītāji Finanšu instrumentu tirgus likuma izpratnē, bet arī privāti ieguldītāji. Privāto ieguldītāju kompetence ne vienmēr ir pietiekama AIFP darbības un risku izvērtēšanai, kas savukārt palielina darbības atbilstības risku. Reģistrētiem AIFP būtu jāievēro vispārējās fonda risku pārvaldīšanai paredzētās normas, kuras šobrīd kā obligātas Alternatīvo ieguldījumu fondu un to pārvaldnieku likumā nav noteiktas, lai gan šādas normas būtu nepieciešamas. Situācija kļūst īpaši aktuāla, ja tiek apsvērta reģistrētu AIFP darbības paplašināšana, tostarp ļaujot tiem pārvaldīt atvērtus fondus vai fondus ar sviras finansējumu. Lai nodrošinātu risku efektīvu mazināšanu un ieguldītāju interešu aizsardzību, šādas darbības paplašināšana prasa papildu risinājumus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Alternatīvo ieguldījumu fondu un to pārvaldnieku likuma 36.pants paredz dažādus instrumentus, lai nodrošinātu atbilstošu aktīvu turēšanu, nosakot par fonda līdzekļiem iegūto nekustamo īpašumu vai kapitālsabiedrības kapitāla daļu reģistrācijas nosacījumus. Vienlaikus Komisijas 2012. gada 19. decembra deleģētā regula (ES) Nr. 231/2013, ar ko papildina Eiropas Parlamenta un Padomes direktīvu 2011/61/ES attiecībā uz atbrīvojumiem, vispārējiem darbības nosacījumiem, depozitārijiem, saistību īpatsvaru, pārskatāmību un uzraudzību, kā arī Alternatīvo ieguldījumu fondu un to pārvaldnieku likums jau šobrīd regulē turētājbanku pienākumus attiecībā uz AIF aktīvu turēšanu, tajā skaitā attiecībā uz īpašumtiesību pārbaudi, uzskaiti un kontroli. Ievērojot minēto, prasība katru reizi šādiem darījumiem saņemt fonda turētājbankas piekrišanu rada iesaistītajām pusēm lieku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vairākās vietās Alternatīvo ieguldījumu fondu un to pārvaldnieku likumā aizstāt vārdu "pakalpojums" ar vārdu "darbība" (piemēram, likumprojekta 1. pantā), tādā veidā tuvinot šajā likumā lietoto terminoloģiju Direktīvas Nr.2024/927 terminoloģijai, lai pēc iespējas precīzāk pēc būtības pārņemtu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papildina Alternatīvo ieguldījumu fondu un to pārvaldnieku likuma 1.pantu ar 45., 46., 47., 48. un 49.punktu, definējot, kas ir fonda kapitāls, aizdevumu izsniegšana, akcionāra aizdevums, aizdevumus izsniedzošs fonds un fonds ar sviras finansējumu. Ar minēto grozījumu tiek pārņemtas Direktīvas Nr. 2024/927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tiek veikti tehniski precizējumi  Alternatīvo ieguldījumu fondu un to pārvaldnieku likuma 5.pantā, kā arī minētā panta septītā daļa tiek papildināta ar 3. un 4.punktu, nosakot, ka licencēts ārējais AIFP, saņemot Latvijas Bankas atļauju, drīkst veikt etalonu administrēšanu saskaņā ar Eiropas Parlamenta un Padomes 2016. gada 8. jūnija regulu (ES) 2016/1011 par indeksiem, ko izmanto kā etalonus finanšu instrumentos un finanšu līgumos vai ieguldījumu fondu darbības rezultātu mērīšanai, un ar kuru groza direktīvu 2008/48/EK, direktīvu 2014/17/ES un regulu (ES) Nr. 596/2014, izņemot tādu etalonu pārvaldību, kurus izmanto paša pārvaldītajos fondos, un veikt kredītu apkalpošanas darbības saskaņā ar Parādu ārpustiesas atgūšanas likumā noteikto.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5.pants precizē Alternatīvo ieguldījumu fondu un to pārvaldnieku likuma 7.panta pirmo daļu, precizējot vispārīgos AIFP reģistrācijas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nosaka divu mēnešu termiņu lēmumam par pārvaldnieka reģistrāciju. Ar grozījumiem šajā likumā, kas stājas spēkā 25.12.2025., tika būtiski palielināts pārvaldnieka reģistrācijai nepieciešamo dokumentu apjoms un prasības, proti, reģistrācijas procesā nepieciešams iegūt un izvērtēt ziņas par pārvaldnieka akcionāriem  (dalībniekiem) un kapitālā ieguldīto līdzekļu izcelsmi, kā arī par pārvaldnieka amatpersonu atbilstību tiem noteiktajām prasībām, nepieciešamības gadījumā arī organizējot intervijas ar potenciālajiem kandidātiem. Ievērojot minēto, lai objektīvi būtu iespējams iegūt un izvērtēt  nepieciešamo informāciju, paredzēts izņēmums no Administratīvā procesa likumā noteiktā termiņa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7.pants precizē Alternatīvo ieguldījumu fondu un to pārvaldnieku likuma 9.panta otro un piekto daļu, kā arī papildina pantu ar 5.</w:t>
      </w:r>
      <w:r w:rsidR="00000000" w:rsidRPr="00000000" w:rsidDel="00000000">
        <w:rPr>
          <w:vertAlign w:val="superscript"/>
          <w:rtl w:val="0"/>
        </w:rPr>
        <w:t xml:space="preserve">4</w:t>
      </w:r>
      <w:r w:rsidR="00000000" w:rsidRPr="00000000" w:rsidDel="00000000">
        <w:rPr>
          <w:rtl w:val="0"/>
        </w:rPr>
        <w:t xml:space="preserve"> daļu, kurā noteikts, kas ir jāievēro reģistrētam AIFP, lai tas drīkstētu deleģēt fonda ieguldījumu pārvaldīšanu vai riska pārvaldīšanu citam reģistrētam vai licencētam AIFP.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Latvijā reģistrētiem AIFP ir atļauts izplatīt fonda ieguldījumu daļas privātiem ieguldītājiem un ka Direktīva Nr. 2011/61 šādos gadījumos dalībvalstīm ļauj noteikt AIFP vai AIF stingrākas prasības nekā prasības, ko piemēro tiem AIF, kurus tirgo vienīgi profesionāliem ieguldītājiem, kā arī riskus, kas saistīti ar reģistrēta AIFP darbību un plānoto regulējuma paplašinājumu, kas atļautu dibināt atvērtus AIF un AIF ar sviras finansējumu (attiecīgi grozījumi Alternatīvo ieguldījumu fondu un to pārvaldnieku likuma 7.pantā), šo risku mazināšanai un ieguldītāju interešu aizsardzībai nepieciešami papildu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vispārējās fonda risku pārvaldības prasības (grozījums Alternatīvo ieguldījumu fondu un to pārvaldnieku likuma 9.panta piektajā daļā ar atsauci uz 25.panta pirmo, trešo, ceturto, sesto un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fondu pārvaldi var uzsākt un ieguldītāju līdzekļus piesaistīt AIFP ar minimālo sākotnējo kapitālu 30 000 </w:t>
      </w:r>
      <w:r w:rsidR="00000000" w:rsidRPr="00000000" w:rsidDel="00000000">
        <w:rPr>
          <w:i w:val="1"/>
          <w:rtl w:val="0"/>
        </w:rPr>
        <w:t xml:space="preserve">euro</w:t>
      </w:r>
      <w:r w:rsidR="00000000" w:rsidRPr="00000000" w:rsidDel="00000000">
        <w:rPr>
          <w:rtl w:val="0"/>
        </w:rPr>
        <w:t xml:space="preserve"> (grozījums Alternatīvo ieguldījumu fondu un to pārvaldnieku likuma 16.panta četrpadsmitajā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neprofesionālajam ieguldītājam drīkst izplatīt tāda AIF ieguldījumu daļas, kam nav sviras finansējuma, sniedzot skaidru norādi, ka reģistrēta AIFP uzraudzība ir ierobežota (grozījumi Alternatīvo ieguldījumu fondu un to pārvaldnieku likuma 9.panta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līdzšinējā norma neparedzēja specifiskas prasības reģistrēta AIFP amatpersonām. Reģistrētam AIFP līdz šim bija saistošas prasības amatpersonām, tai skaitā, ka tā ir pietiekami kompetenta jomā, par kuru būs atbildīga. Tomēr nebija norādīts atbildīgo amatpersonu skaits un konkrētā joma – ieguldījumu stratēģijas īstenošana, kurā tai ir jābūt kompetentai. Lai to novērstu, Alternatīvo ieguldījumu fondu un to pārvaldnieku likuma 9.panta piektā daļa tiek papildināta ar atsauci uz 15.panta ceturtās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AIFP jānodrošina attiecīgā AIF darbībai piemītošo risku atbilstoša pārvaldība (grozījumi Alternatīvo ieguldījumu fondu un to pārvaldnieku likuma 9.panta piektajā daļā, kura satur atsauces uz attiecīgajām normām Alternatīvo ieguldījumu fondu un to pārvaldnieku likumā, tomēr 25.</w:t>
      </w:r>
      <w:r w:rsidR="00000000" w:rsidRPr="00000000" w:rsidDel="00000000">
        <w:rPr>
          <w:vertAlign w:val="superscript"/>
          <w:rtl w:val="0"/>
        </w:rPr>
        <w:t xml:space="preserve">1</w:t>
      </w:r>
      <w:r w:rsidR="00000000" w:rsidRPr="00000000" w:rsidDel="00000000">
        <w:rPr>
          <w:rtl w:val="0"/>
        </w:rPr>
        <w:t xml:space="preserve">, 26.¹ un 26.² pantā minēto normu piemērošana pēc būtības ir ierobežota un attiecas tikai uz tiem AIFP, kuri pārvalda atvērtus AIF vai kuru pārvaldē esošie AIF iesaistās aizdevumu izsniegšanā);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deleģēšanas normas ir attiecināmas uz reģistrētu AIFP, jo to mērķis ir novērst iespēju deleģēt AIFP pamatdarbības pakalpojumus (fonda ieguldījumu pārvaldīšana un riska pārvaldīšana) personām, kurām varētu nebūt atbilstoša kvalifikācija, profesionālā pieredze, nevainojama reputācija vai pietiekami resursi deleģēto darbību izpildei. Vienlaikus šīs normas nodrošina, ka AIFP saglabā pilnu atbildību par deleģētajām funkcijām, novēršot regulējuma apiešanas iespējas (likumprojekta 7.pantā ietvertā 9.panta 5.</w:t>
      </w:r>
      <w:r w:rsidR="00000000" w:rsidRPr="00000000" w:rsidDel="00000000">
        <w:rPr>
          <w:vertAlign w:val="superscript"/>
          <w:rtl w:val="0"/>
        </w:rPr>
        <w:t xml:space="preserve">4</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kas paredzēti likumprojekta 5.un 10.pantā, ir ņemti vērā Latvijas Privātā un Iespējkapitāla nozares asociācijas priekšlikumi Alternatīvo ieguldījumu fondu un to pārvaldnieku likuma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8.pants precizē Alternatīvo ieguldījumu fondu un to pārvaldnieku likuma 10.panta trešās daļas 1.punkta "a" apakšpunktu un papildina minēto punktu ar "h", "i" un "j" apakšpunktu, nosakot licences saņemšanai iesniedzamos dokumentus un ziņas.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veiktas izmaiņas likuma 10.panta sestajā daļā ar mērķi pārņemt gan Direktīvas Nr. 2024/927 prasības, gan vienkāršot prasības attiecībā uz licencēšanas procesā iesniedzamajiem dokumentiem.  Likumprojekts paredz pārskatīt un samazināt to dokumentu apjomu, kas licencēšanas procesā jāiesniedz Latvijas Bankai izvērtēšanai saistībā ar pārvaldnieka darbības organizāciju, nosakot, ka par būtiskiem pārvaldnieka darbības procesiem (piemēram, risku pārvaldīšanu, t.sk. interešu konfliktiem, atalgojuma politikas pamatnostādnēm) AIFP sagatavo un iesniedz aprakstu, nevis detalizētas politikas. Savukārt par procesiem, kas nav kritiski licencēšanas brīdī (piemēram, sūdzību izskatīšana, vadības informācijas sistēma), prasība sagatavot un iesniegt informāciju tiek svītrota. Šādas izmaiņas mazinās  administratīvo slogu potenciālajiem AIFP un atvieglos licencēšanas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9.pants precizē Alternatīvo ieguldījumu fondu un to pārvaldnieku likuma  15.panta ceturto daļu, nosakot, kādām kompetencēm un prasībām jāatbilst vismaz divām AIFP amatpersonām.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11.pants precizē Alternatīvo ieguldījumu fondu un to pārvaldnieku likuma 18.panta pirmo daļu, lai tehniski saskaņotu šajā likumā lietotos terminus “pakalpojumi”, “papildpakalpojumi” un “darbības” ar Direktīvā Nr.2024/927 lietotajiem terminiem un tādējādi pēc iespējas precīzāk pārņemtu minēto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12.pants precizē Alternatīvo ieguldījumu fondu un to pārvaldnieku likuma 20.panta piekto daļu, nosakot Eiropas Vērtspapīru un tirgu iestādei nododamās informācijas apjomu atbilstoši Direktīvas Nr. 2024/927 prasībām. Balstoties uz dalībvalstu saņemto informāciju, Eiropas Vērtspapīru un tirgu iestāde uztur centralizētu publisku reģistru, kurā norāda ikvienu licencētu AIFP, katra šāda AIFP uzraudzības institūciju un to AIF sarakstu, kurus šāds  AIFP pārvalda vai izplata Eiropas Savienībā. Reģistrs ir publiski pieejams Eiropas Vērtspapīru un tirgu iestādes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13.pantā ietvertie grozījumi ir tehniski un tiek veikti, lai salāgotu terminoloģiju  Alternatīvo ieguldījumu fondu un to pārvaldnieku likumā, savukārt grozījumi 22.panta ceturtajā daļā tiek veikti, lai precizētu  norādītās prasības AIFP darbībai.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14.pants papildina Alternatīvo ieguldījumu fondu un to pārvaldnieku likuma 23.pantu ar 2.</w:t>
      </w:r>
      <w:r w:rsidR="00000000" w:rsidRPr="00000000" w:rsidDel="00000000">
        <w:rPr>
          <w:vertAlign w:val="superscript"/>
          <w:rtl w:val="0"/>
        </w:rPr>
        <w:t xml:space="preserve">1</w:t>
      </w:r>
      <w:r w:rsidR="00000000" w:rsidRPr="00000000" w:rsidDel="00000000">
        <w:rPr>
          <w:rtl w:val="0"/>
        </w:rPr>
        <w:t xml:space="preserve"> daļu, paredzot nosacījumus, kas AIFP jāievēro, ja tas plāno pārvaldīt fondu pēc trešās personas iniciatīvas.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16.pants precizē Alternatīvo ieguldījumu fondu un to pārvaldnieku likuma 25.panta trešo daļu, lai nodrošinātu Direktīvas Nr. 2011/61 15.panta 1.punkta precīzāku pārņemšanu. Minētā direktīvas norma paredz, ka AIFP funkcionāli un hierarhiski nošķir riska pārvaldīšanas  pienākumus no funkcionālajām struktūrvienībām, tostarp no fonda ieguldījumu pārvaldīšanas funkcijām. AIFP jāizstrādā un jāievieš kontroles procedūras esošo vai iespējamo interešu konflikta situāciju novēršanai un jāspēj pierādīt, ka riska pārvaldīšanas process tiek īstenots atbilstoši Alternatīvo ieguldījumu fondu un to pārvaldnieku likumā un Komisijas 2012. gada 19. decembra deleģētās regulas (ES) Nr. 231/2013 noteiktajām prasībām un ir pastāvīgi iedarbīgs.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AIFP pamatdarbība ietver arī riska pārvaldīšanu, ir būtiski nodrošināt, ka riska pārvaldīšana, tai skaitā riska ierobežojumu noteikšana, ziņošana par limitu pārkāpumiem un lēmumu pieņemšanas eskalācija AIFP vadības līmenī tiek veikta funkcionāli neatkarīgi no AIFP biznesa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Priekšnoteikums efektīvai, objektīvai un uzticamai riska pārvaldīšanai ir riska pārvaldīšanas funkcijai nodrošināt atbilstošu vietu AIFP organizatoriskajā struktūrā, nosakot, ka šī funkcija nav pakļauta vai kā citādi saistīta ar AIFP biznesa struktūrvienībām vai atbildīgajām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proporcionalitātes principu, ja objektīvu iemeslu dēļ organizatoriskās struktūras, darbības virziena, apjoma un darbinieku skaita ziņā neliels AIFP nevar nodrošināt, ka darbinieka vai amatpersonas, kura veic riska pārvaldīšanu, pienākumos netiek ieļauta kāda no pārējām AIFP darbībām, likumprojektā ir noteikta prasība izstrādāt interešu konflikta pārvaldīšanas un kontroles procedūras (piemēram, darbinieka pieņemšana uz nepilnu slodzi, lēmumu pieņemšanas ierobežojumi, ārpakalpojums u.tml.), lai nodrošinātu to, ka riska pārvaldīšana ir objektīva un neatkarīga, ņemot vērā arī AIFP pārvaldīto fondu raksturu, apjomu un sarežģītību.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pārvaldīšanas funkcionālās un hierarhiskās neatkarības noteikšanā, kā arī proporcionalitātes principa piemērošanā AIFP var ņemt vērā Eiropas Vērtspapīru un tirgu iestādes sniegtās rekomendācijas (skat. ESMA tehniskās konsultācijas Eiropas Komisijai par iespējamiem Alternatīvo ieguldījumu fondu pārvaldnieku direktīvas īstenošanas pasākumiem, 70.-72. lpp., https://www.esma.europa.eu/sites/default/files/library/2015/11/2011_379.pdf).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16.pants (25.panta trešās daļas otrais teikums) paredz pienākumu reģistrētam pārvaldniekam nodrošināt vismaz to, ka riska pārvaldīšana ir organizatoriski un funkcionāli nodalīta no fonda ieguldījumu pārvaldīšanas. Šāds pienākums reģistrētam pārvaldniekam tiek paredzēts, jo likumprojekts reģistrētam pārvaldniekam atļauj pārvaldīt fondus ar augstāku risku un piesaistīt neprofesionālos ieguldītājus, lai aizsargātu neprofesionālu ieguldītāju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17.pants papildina Alternatīvo ieguldījumu fondu un to pārvaldnieku likumu ar 25.</w:t>
      </w:r>
      <w:r w:rsidR="00000000" w:rsidRPr="00000000" w:rsidDel="00000000">
        <w:rPr>
          <w:vertAlign w:val="superscript"/>
          <w:rtl w:val="0"/>
        </w:rPr>
        <w:t xml:space="preserve">1</w:t>
      </w:r>
      <w:r w:rsidR="00000000" w:rsidRPr="00000000" w:rsidDel="00000000">
        <w:rPr>
          <w:rtl w:val="0"/>
        </w:rPr>
        <w:t xml:space="preserve"> pantu “Aizdevumu izsniegšana”, kurā norādīts, kādas prasības jāievēro AIFP, izsniedzot aizdevumus. Likuma 25.</w:t>
      </w:r>
      <w:r w:rsidR="00000000" w:rsidRPr="00000000" w:rsidDel="00000000">
        <w:rPr>
          <w:vertAlign w:val="superscript"/>
          <w:rtl w:val="0"/>
        </w:rPr>
        <w:t xml:space="preserve">1</w:t>
      </w:r>
      <w:r w:rsidR="00000000" w:rsidRPr="00000000" w:rsidDel="00000000">
        <w:rPr>
          <w:rtl w:val="0"/>
        </w:rPr>
        <w:t xml:space="preserve"> panta divdesmit otrā daļa paredz iespēju, ka licencēts AIF piešķir aizdevumus patērētājiem Patērētāju tiesību aizsardzības likuma izpratnē, ievērojot Patērētāju tiesību aizsardzības likumā noteiktās prasības, tajā skaitā saņemot licenci patērētāju kreditēšanai. Ar minēto grozījumu tiek pārņemtas Direktīvas Nr. 2024/927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18.pants papildina Alternatīvo ieguldījumu fondu un to pārvaldnieku likumu ar 26.</w:t>
      </w:r>
      <w:r w:rsidR="00000000" w:rsidRPr="00000000" w:rsidDel="00000000">
        <w:rPr>
          <w:vertAlign w:val="superscript"/>
          <w:rtl w:val="0"/>
        </w:rPr>
        <w:t xml:space="preserve">1</w:t>
      </w:r>
      <w:r w:rsidR="00000000" w:rsidRPr="00000000" w:rsidDel="00000000">
        <w:rPr>
          <w:rtl w:val="0"/>
        </w:rPr>
        <w:t xml:space="preserve"> pantu “Likviditātes pārvaldības instrumenti”, kur minēts, kādus likviditātes pārvaldības instrumentus drīkst izmantot atvērtā fonda AIFP, un 26.</w:t>
      </w:r>
      <w:r w:rsidR="00000000" w:rsidRPr="00000000" w:rsidDel="00000000">
        <w:rPr>
          <w:vertAlign w:val="superscript"/>
          <w:rtl w:val="0"/>
        </w:rPr>
        <w:t xml:space="preserve">2</w:t>
      </w:r>
      <w:r w:rsidR="00000000" w:rsidRPr="00000000" w:rsidDel="00000000">
        <w:rPr>
          <w:rtl w:val="0"/>
        </w:rPr>
        <w:t xml:space="preserve"> pantu “Atvērtā fonda likviditātes pārvaldīšana”, kurā minēts, kādi nosacījumi likviditātes pārvaldīšanai jāievēro atvērtā fonda AIFP.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20.pants precizē Alternatīvo ieguldījumu fondu un to pārvaldnieku likuma 28.pantu “Pārvaldnieka darbību deleģēšana”, izsakot to jaunā redakcijā. Ar veiktajiem grozījumiem tiek nodrošināts, ka Latvijas Banka saņem informāciju par darbībām, kuras AIFP plāno deleģēt trešajai personai, kā arī tiek noteikts, ka AIFP deleģēto darbību veikšanai jāizvēlas kvalificēta un uzticama trešā persona, jāizstrādā kārtība deleģēšanas procesa organizēšanai, deleģētās darbības izpildes apjoma un kvalitātes nepārtrauktai uzraudzībai, kā arī ar deleģēšanu saistīto risku pārvaldībai. Grozījumi paredz noteikumus, kuri jāiekļauj deleģēšanas līgumā, kā arī nosacījumus darbību tālākai deleģēšanai. Salīdzinot ar pašlaik spēkā esošo Alternatīvo ieguldījumu fondu un to pārvaldnieku likuma 28.panta redakciju, AIFP arī par plānoto papildpakalpojumu deleģēšanu būs jāinformē Latvijas Banka pirms deleģēšanas līguma noslēgšanas, nevis piecu darbdienu laikā pēc deleģēšanas līguma noslēgšanas, kā tas bija noteikts līdz šim, kā arī AIFP vairs netiek izvirzīta prasība pirms deleģēšanas iesniegt Latvijas Bankai izvērtēšanai deleģēšanas procedūru un ziņot par jebkuriem grozījumiem tajā.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riskos balstītu pieeju un turētājbanku iespēju izvēlēties atbilstošākos mehānismus savu pienākumu nodrošināšanai atbilstoši attiecīgā fonda mērķiem un izvēlētajai stratēģijai, likumprojekta 22. pantā ietvertie grozījumi Alternatīvo ieguldījumu fondu un to pārvaldnieku likuma 36.pantā paredz atteikties no nosacījuma, ka nekustamā īpašuma nostiprināšana zemesgrāmatā vai kapitāla daļu reģistrācija komercreģistrā veicama ar atzīmi, ka šo nekustamo īpašumu vai kapitāla daļas nedrīkst atsavināt vai apgrūtināt bez fonda turētājbankas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23.pants papildina Alternatīvo ieguldījumu fondu un to pārvaldnieku likuma 41.pantu ar divpadsmito daļu, paredzot nosacījumus, kādos gadījumos licencēts dalībvalsts AIFP drīkst izplatīt AIF ieguldījumu daļas Latvijā, ievērojot tās pašas prasības, kuras piemēro fonda izcelsmes dalībvalstī.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25.pants papildina Alternatīvo ieguldījumu fondu un to pārvaldnieku likuma 47.pantu ar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6.</w:t>
      </w:r>
      <w:r w:rsidR="00000000" w:rsidRPr="00000000" w:rsidDel="00000000">
        <w:rPr>
          <w:vertAlign w:val="superscript"/>
          <w:rtl w:val="0"/>
        </w:rPr>
        <w:t xml:space="preserve">3</w:t>
      </w:r>
      <w:r w:rsidR="00000000" w:rsidRPr="00000000" w:rsidDel="00000000">
        <w:rPr>
          <w:rtl w:val="0"/>
        </w:rPr>
        <w:t xml:space="preserve"> un 6.</w:t>
      </w:r>
      <w:r w:rsidR="00000000" w:rsidRPr="00000000" w:rsidDel="00000000">
        <w:rPr>
          <w:vertAlign w:val="superscript"/>
          <w:rtl w:val="0"/>
        </w:rPr>
        <w:t xml:space="preserve">4</w:t>
      </w:r>
      <w:r w:rsidR="00000000" w:rsidRPr="00000000" w:rsidDel="00000000">
        <w:rPr>
          <w:rtl w:val="0"/>
        </w:rPr>
        <w:t xml:space="preserve"> daļu, precizējot turētājbankai izvirzāmās prasības. Likuma 47. panta 6.</w:t>
      </w:r>
      <w:r w:rsidR="00000000" w:rsidRPr="00000000" w:rsidDel="00000000">
        <w:rPr>
          <w:vertAlign w:val="superscript"/>
          <w:rtl w:val="0"/>
        </w:rPr>
        <w:t xml:space="preserve">3</w:t>
      </w:r>
      <w:r w:rsidR="00000000" w:rsidRPr="00000000" w:rsidDel="00000000">
        <w:rPr>
          <w:rtl w:val="0"/>
        </w:rPr>
        <w:t xml:space="preserve"> daļā ir paredzēta atkāpe no Administratīvā procesa likumā noteiktā termiņa administratīvā akta izdošanai, paredzot lēmuma pieņemšanu divu mēnešu laikā no iesnieguma saņemšanas. Lai Latvijas Banka varētu sniegt atļauju par fonda turētājbanku izvēlēties citā dalībvalstī reģistrētu kredītiestādi, tai būtu jāiegūst informācija un jāveic attiecīgā turētājbanku pakalpojuma sniedzēju tirgus izpēte, kas varētu efektīvi apmierināt fonda vajadzības, ņemot vērā fonda  ieguldījumu stratēģiju. Papildus tam Latvijas Bankai būtu jāiegūst informācija no visiem Latvijas turētājbanku pakalpojumu sniedzējiem par AIFP vārdā turēto aktīvu kopsummu. Ievērojot minēto, lai objektīvi būtu iespējams iegūt un izvērtēt  nepieciešamo informāciju, noteikts divu mēnešu termiņš lēmuma pieņemšanai.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26.pants groza Alternatīvo ieguldījumu fondu un to pārvaldnieku likuma 48.panta otrās daļas nosacījumus un papildina pantu ar 2.</w:t>
      </w:r>
      <w:r w:rsidR="00000000" w:rsidRPr="00000000" w:rsidDel="00000000">
        <w:rPr>
          <w:vertAlign w:val="superscript"/>
          <w:rtl w:val="0"/>
        </w:rPr>
        <w:t xml:space="preserve">1</w:t>
      </w:r>
      <w:r w:rsidR="00000000" w:rsidRPr="00000000" w:rsidDel="00000000">
        <w:rPr>
          <w:rtl w:val="0"/>
        </w:rPr>
        <w:t xml:space="preserve"> daļu, precizējot turētājbankas pienākumus informācijas sniegšanai uzraudzības iestādēm.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27.pants precizē Alternatīvo ieguldījumu fondu un to pārvaldnieku likuma 54.panta nosacījumus, papildinot trešo personu loku, pie kurām turētājbanka ir tiesīga turēt fonda naudas līdzekļus vai finanšu instrumentus, ar centrālo vērtspapīru depozitāriju, kā arī precizē citus ar aktīvu turēšanu pie trešās personas saistītos nosacījumus.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28.pants precizē Alternatīvo ieguldījumu fondu un to pārvaldnieku likuma 58.pantu, precizējot informācijas atklāšanas ieguldītājiem nosacījumus.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29.pants precizē Alternatīvo ieguldījumu fondu un to pārvaldnieku likuma 59.pantu, precizējot informācijas sniegšanas Latvijas Bankai  nosacījumus.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30.pants precizē Alternatīvo ieguldījumu fondu un to pārvaldnieku likuma 60.panta otrās daļas nosacījumus un papildina pantu ar 2.</w:t>
      </w:r>
      <w:r w:rsidR="00000000" w:rsidRPr="00000000" w:rsidDel="00000000">
        <w:rPr>
          <w:vertAlign w:val="superscript"/>
          <w:rtl w:val="0"/>
        </w:rPr>
        <w:t xml:space="preserve">1</w:t>
      </w:r>
      <w:r w:rsidR="00000000" w:rsidRPr="00000000" w:rsidDel="00000000">
        <w:rPr>
          <w:rtl w:val="0"/>
        </w:rPr>
        <w:t xml:space="preserve"> daļu, precizējot nosacījumus par informācijas izmantošanu AIFP darbības pārrobežu uzraudzībā.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32.pants precizē Alternatīvo ieguldījumu fondu un to pārvaldnieku likuma 72.panta otrās daļas 2.punktu, precizējot nosacījumus, kuri ir attiecināmi uz ārvalsts fonda uzraudzības institūciju un fonda dibināšanas valsti.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33.pants papildina Alternatīvo ieguldījumu fondu un to pārvaldnieku likuma 74.pantu ar 9.</w:t>
      </w:r>
      <w:r w:rsidR="00000000" w:rsidRPr="00000000" w:rsidDel="00000000">
        <w:rPr>
          <w:vertAlign w:val="superscript"/>
          <w:rtl w:val="0"/>
        </w:rPr>
        <w:t xml:space="preserve">1</w:t>
      </w:r>
      <w:r w:rsidR="00000000" w:rsidRPr="00000000" w:rsidDel="00000000">
        <w:rPr>
          <w:rtl w:val="0"/>
        </w:rPr>
        <w:t xml:space="preserve"> daļu, precizējot nosacījumus, kas ir jāievēro ārvalsts AIFP attiecībā uz tā pārvaldītajiem fondiem, lai tiktu ņemtas vērā ieguldītāju intereses.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34.pants precizē Alternatīvo ieguldījumu fondu un to pārvaldnieku likuma 81.panta septītās daļas 14.punktu, nosakot, kādos gadījumos AIFP var pieprasīt aktivizēt vai deaktivizēt parakstīšanās un atpakaļpirkšanas apturēšanu, ja pastāv riski ieguldītāju interešu aizsardzībai vai finanšu stabilitātei.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36.pants papildina Alternatīvo ieguldījumu fondu un to pārvaldnieku likuma 85.panta otro daļu ar 5.punktu, paredzot, ka aizliegums izpaust ierobežotas pieejamības informāciju neattiecas uz informāciju, kas paredzēta normatīvajos  aktos nodokļu jomā. Šis grozījums nepieciešams, lai pārņemtu Direktīvas Nr. 2024/927 prasību, ka informāciju neizpauž citai personai vai iestādei, ja vien uz to neattiecas nodokļu tiesību aktos minētie gadījumi. Šobrīd likuma “Par nodokļiem un nodevām” 17. pants nosaka nodokļu administrācijas tiesības informācijas pieprasīšanai, kas būtu attiecināms uz Alternatīvo ieguldījumu fondu un to pārvaldnieku likuma 85.panta otrās daļas 5.punktu. Saskaņā ar Direktīvas Nr. 2024/927 preambulas 45.punktā minēto, “Prasībām būtu arī jānodrošina atbilstīga un efektīva informācijas apmaiņa nodokļu jautājumos saskaņā ar starptautiskajiem standartiem, piemēram, tiem, kas noteikti 26. pantā ESAO Paraugkonvencijā par nodokļu uzlikšanu ienākumiem un kapitālam”.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ieguldījumu fondu un to pārvaldnieku likuma 85. panta trešā daļa precizēta, lai pārņemtu Direktīvā Nr. 2024/927 paredzēto kārtību informācijas izpaušanai. Minētais grozījums nenonāk pretrunā ar Informācijas atklātības likuma mērķi un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ieguldījumu fondu un to pārvaldnieku likuma 85.panta devītā daļa precizēta attiecībā uz centrālā vērtspapīru depozitārija normatīvo regulējumu.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37.pants papildina Alternatīvo ieguldījumu fondu un to pārvaldnieku likuma 87.pantu ar sesto, septīto, astoto, devīto, desmito, vienpadsmito un divpadsmito daļu, paredzot Latvijas Bankas sadarbības nosacījumus informācijas apmaiņas jomā. Ar minēto grozījumu tiek pārņemtas Direktīvas Nr. 2024/927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38.pants papildina Alternatīvo ieguldījumu fondu un to pārvaldnieku likuma pārejas noteikumus ar 27., 28.,  29., 30., 31. un 32. punktu Direktīvas Nr. 2024/927 prasību pārņemšanai.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38. pantā ietverto likuma pārejas noteikumu 29. punktu paredzēts pārņemt Direktīvas Nr. 2024/927 prasības, nosakot, ka pārvaldnieka darbību attiecībā uz tā pārvaldē esošu fondu, kas ir iesaistīts aizdevumu izsniegšanā, ir izveidots pirms 2024. gada 15. aprīļa un kas nepiesaista papildu kapitālu pēc minētā datuma, uzskata par atbilstošu šā likuma 25.</w:t>
      </w:r>
      <w:r w:rsidR="00000000" w:rsidRPr="00000000" w:rsidDel="00000000">
        <w:rPr>
          <w:vertAlign w:val="superscript"/>
          <w:rtl w:val="0"/>
        </w:rPr>
        <w:t xml:space="preserve">1</w:t>
      </w:r>
      <w:r w:rsidR="00000000" w:rsidRPr="00000000" w:rsidDel="00000000">
        <w:rPr>
          <w:rtl w:val="0"/>
        </w:rPr>
        <w:t xml:space="preserve"> panta trešajai, ceturtajai, piektajai, sestajai, septītajai, astotajai, devītajai, desmitajai, vienpadsmitajai, divpadsmitajai, deviņpadsmitajai, divdesmitajai un divdesmit pirmajai daļai. Ievērojot minēto, gadījumā, ja šāds fonds ir piesaistījis papildu kapitālu pēc 2024. gada 15. aprīļa, tam ir jānodrošina atbilstība attiecīgajām aizdevumu izsniegšanas prasībām. Minētā likumprojekta norma paredz atpakaļejošu datumu, kas tieši izriet no Direktīvas Nr. 2024/927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arī informatīvo atsauci uz Eiropas Savienības direktīvām ar atsauci uz Direktīvu Nr. 2024/927.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2., 3., 4., 15.,19., 21., 22., 24., 31. un 35. pantā ietvertie grozījumi ir tehniski un tiek veikti, lai salāgotu Direktīvas Nr.2024/927 terminoloģiju ar Alternatīvo ieguldījumu fondu un to pārvaldnieku likuma terminoloģiju, tai skaitā likumprojektā paredzēts vairākās vietās likumā aizstāt vārdu "pakalpojums" ar vārdu "darbība" u.tml. (piemēram, likumprojekta 1. pantā). Minētie precizējumi veikti, lai pēc iespējas precīzāk pārņemtu Direktīvas Nr. 2024/927 prasības. Šie precizējumi pēc būtības neietekmēs privātpersonu tiesības un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tiesiskais regulējums attiecas uz finanšu tirgus dalībniekiem - AIFP, to pārvaldītajiem fondiem un turētājbankas 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atbilstoši Direktīvas 2024/927 prasībām tiek precizētas prasības attiecībā uz alternatīvo ieguldījumu fondu aizdevumu izsniegšanu, likviditātes pārvaldības instrumentu lietošanu dalībvalstī un aktīvu glabāšanu, kā arī tiek precizēti standarti, kas piemērojami AIFP, kuri deleģē savus pakalpojumus trešajām personām, nodrošināts vienlīdzīgs regulējums turētājbankas pakalpojumu sniedzējiem un uzlabotas pārrobežu piekļuves iespējas to pakalpojumiem, optimizēta uzraudzības datu vākšana, kā arī nodrošināta iespēja sniegt citām personām jebkuru darbību, ko AIFP jau veic. Likumprojektā noteiktas papildu prasības AIFP attiecībā uz vadības struktūras nodrošināšanu, kā arī tiek paredzēta iespēja veikt etalonu administrēšanu un kredītu apkalpošanas darbības, ievērojot atbilstošo normatīvo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25-TA-2105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pārņemt Direktīvas Nr. 2024/927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32024L0927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13. marta direktīva (ES) 2024/927 ar ko groza direktīvas 2011/61/ES un 2009/65/EK attiecībā uz vienošanos par deleģēšanu, likviditātes riska pārvaldību, uzraudzības pārskatu sniegšanu, depozitāriju un turētājbanku pakalpojumu sniegšanu un aizdevumu izsniegšanu, ko veic alternatīvo ieguldījumu fondi.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Direktīvas Nr. 2024/927 pārņemšanu.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13. marta direktīva (ES) 2024/927 ar ko groza direktīvas 2011/61/ES un 2009/65/EK attiecībā uz vienošanos par deleģēšanu, likviditātes riska pārvaldību, uzraudzības pārskatu sniegšanu, depozitāriju un turētājbanku pakalpojumu sniegšanu un aizdevumu izsniegšanu, ko veic alternatīvo ieguldījumu fondi.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Alternatīvo ieguldījumu fondu un to pārvaldnieku likuma 1. panta 30.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 punkta “b” apakšpunkts ("ap"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36. pants (grozījums 85. panta devītajā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 punkta “b” apakšpunkts (“aq”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(1. panta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 punkta “b” apakšpunkts (“ar”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(1. panta 46.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 punkta “b” apakšpunkts (“as”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(1. panta 47.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 punkta “b” apakšpunkts (“at”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(1. panta 48.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1. punkta “b” apakšpunkts (“au”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(1. panta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(5. panta 8.</w:t>
            </w:r>
            <w:r w:rsidR="00000000" w:rsidRPr="00000000" w:rsidDel="00000000">
              <w:rPr>
                <w:sz w:val="24"/>
                <w:vertAlign w:val="superscript"/>
                <w:rtl w:val="0"/>
              </w:rPr>
              <w:t xml:space="preserve">1</w:t>
            </w:r>
            <w:r w:rsidR="00000000" w:rsidRPr="00000000" w:rsidDel="00000000">
              <w:rPr>
                <w:sz w:val="24"/>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(5. panta septītās daļas 3. un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 punkta “c” apakšpunkta “i”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 punkta “c” apakšpunkta “ii”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(5. panta septītās daļas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13.pants (22.panta ceturtās daļas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3. punkta “a” apakšpunkts (7. panta 2. punkta “a” apakšpunkta “i”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 pants (grozījumi 10. panta trešās daļas 1. punkta “a” apakšpunktā)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3. punkta “a” apakšpunkts (7. panta 2. punkta “a” apakšpunkta “ii”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 pants (10. panta trešās daļas 1. punkta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3. punkta “a” apakšpunkts (7. panta 2. punkta “a” apakšpunkta “iii”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 pants (10. panta trešās daļas 1. 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3. punkta “a” apakšpunkts (7. panta 2. punkta “a” apakšpunkta “iv”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 pants (10. panta trešās daļas 1. punkta “j”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3. punkta “a” apakšpunkts (7. panta 2. punkta “aa”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 pants (10. panta trešās daļas 1. punkta “j”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3. punkta “a” apakšpunkts (7.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Prasība pārņemta Alternatīvo ieguldījumu fondu un to pārvaldnieku likuma 10.panta pirmā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3. punkta “a” apakšpunkts (7.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 pants (grozījumi 10. panta sestās daļas 1.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3. punkta “a” apakšpunkts (7.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Alternatīvo ieguldījumu fondu un to pārvaldnieku likuma 10. panta sestās daļas 7.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3. punkta “a” apakšpunkts (7. panta 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 pants (grozījumi 10. panta sestās daļas 8.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3. punkta "b" apakšpunkts (7. panta 5.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 pants (grozījumi 20. 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3. punkta "b" apakšpunkts (7. panta 5.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paredz uzdevumu Eiropas Vērtspapīru un tirgu iestādei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3.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svītro pienākumus Eiropas Vērtspapīru un tirgu iestādei un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3.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paredz uzdevumu Eiropas Vērtspapīru un tirgu iestādei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Alternatīvo ieguldījumu fondu un to pārvaldnieku likuma 10. panta trešās daļas 1. punkta "b" apakšpunktā, 15. panta pirmajā daļā un likumprojekta 9. pantā (grozījumi 15. panta ceturtajā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(paredz pienākumu Eiropas Vērtspapīru un tirgu iestādei, kā arī vienreizēju pienākumu dalībvalstu kompetentajām iestādēm sniegt informāciju Eiropas Vērtspapīru un tirgu iestādei, kas izpildāms līdz direktīvas pārņemšanas termiņam)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 pants (23. panta 2.</w:t>
            </w:r>
            <w:r w:rsidR="00000000" w:rsidRPr="00000000" w:rsidDel="00000000">
              <w:rPr>
                <w:sz w:val="24"/>
                <w:vertAlign w:val="superscript"/>
                <w:rtl w:val="0"/>
              </w:rPr>
              <w:t xml:space="preserve">1</w:t>
            </w:r>
            <w:r w:rsidR="00000000" w:rsidRPr="00000000" w:rsidDel="00000000">
              <w:rPr>
                <w:sz w:val="24"/>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7.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pants (25.</w:t>
            </w:r>
            <w:r w:rsidR="00000000" w:rsidRPr="00000000" w:rsidDel="00000000">
              <w:rPr>
                <w:sz w:val="24"/>
                <w:vertAlign w:val="superscript"/>
                <w:rtl w:val="0"/>
              </w:rPr>
              <w:t xml:space="preserve">1</w:t>
            </w:r>
            <w:r w:rsidR="00000000" w:rsidRPr="00000000" w:rsidDel="00000000">
              <w:rPr>
                <w:sz w:val="24"/>
                <w:rtl w:val="0"/>
              </w:rPr>
              <w:t xml:space="preserve"> 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7. punkta "b" apakšpunkts (15. panta 4.a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pants (25.</w:t>
            </w:r>
            <w:r w:rsidR="00000000" w:rsidRPr="00000000" w:rsidDel="00000000">
              <w:rPr>
                <w:sz w:val="24"/>
                <w:vertAlign w:val="superscript"/>
                <w:rtl w:val="0"/>
              </w:rPr>
              <w:t xml:space="preserve">1</w:t>
            </w:r>
            <w:r w:rsidR="00000000" w:rsidRPr="00000000" w:rsidDel="00000000">
              <w:rPr>
                <w:sz w:val="24"/>
                <w:rtl w:val="0"/>
              </w:rPr>
              <w:t xml:space="preserve"> panta trešā un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7. punkta "b" apakšpunkts (15. panta 4.b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pants (25.</w:t>
            </w:r>
            <w:r w:rsidR="00000000" w:rsidRPr="00000000" w:rsidDel="00000000">
              <w:rPr>
                <w:sz w:val="24"/>
                <w:vertAlign w:val="superscript"/>
                <w:rtl w:val="0"/>
              </w:rPr>
              <w:t xml:space="preserve">1</w:t>
            </w:r>
            <w:r w:rsidR="00000000" w:rsidRPr="00000000" w:rsidDel="00000000">
              <w:rPr>
                <w:sz w:val="24"/>
                <w:rtl w:val="0"/>
              </w:rPr>
              <w:t xml:space="preserve"> panta piektā, sestā, septītā, astotā un devītā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7. punkta "b" apakšpunkts (15. panta 4.c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pants (25.</w:t>
            </w:r>
            <w:r w:rsidR="00000000" w:rsidRPr="00000000" w:rsidDel="00000000">
              <w:rPr>
                <w:sz w:val="24"/>
                <w:vertAlign w:val="superscript"/>
                <w:rtl w:val="0"/>
              </w:rPr>
              <w:t xml:space="preserve">1</w:t>
            </w:r>
            <w:r w:rsidR="00000000" w:rsidRPr="00000000" w:rsidDel="00000000">
              <w:rPr>
                <w:sz w:val="24"/>
                <w:rtl w:val="0"/>
              </w:rPr>
              <w:t xml:space="preserve"> panta desmitā un vienpadsmitā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7. punkta "b" apakšpunkts (15. panta 4.d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pants (25.</w:t>
            </w:r>
            <w:r w:rsidR="00000000" w:rsidRPr="00000000" w:rsidDel="00000000">
              <w:rPr>
                <w:sz w:val="24"/>
                <w:vertAlign w:val="superscript"/>
                <w:rtl w:val="0"/>
              </w:rPr>
              <w:t xml:space="preserve">1</w:t>
            </w:r>
            <w:r w:rsidR="00000000" w:rsidRPr="00000000" w:rsidDel="00000000">
              <w:rPr>
                <w:sz w:val="24"/>
                <w:rtl w:val="0"/>
              </w:rPr>
              <w:t xml:space="preserve"> panta divpadsmitā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7. punkta "b" apakšpunkts (15. panta 4.e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pants (25.</w:t>
            </w:r>
            <w:r w:rsidR="00000000" w:rsidRPr="00000000" w:rsidDel="00000000">
              <w:rPr>
                <w:sz w:val="24"/>
                <w:vertAlign w:val="superscript"/>
                <w:rtl w:val="0"/>
              </w:rPr>
              <w:t xml:space="preserve">1</w:t>
            </w:r>
            <w:r w:rsidR="00000000" w:rsidRPr="00000000" w:rsidDel="00000000">
              <w:rPr>
                <w:sz w:val="24"/>
                <w:rtl w:val="0"/>
              </w:rPr>
              <w:t xml:space="preserve"> panta trīspadsmitā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7. punkta "b" apakšpunkts (15. panta 4.f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pants (25.</w:t>
            </w:r>
            <w:r w:rsidR="00000000" w:rsidRPr="00000000" w:rsidDel="00000000">
              <w:rPr>
                <w:sz w:val="24"/>
                <w:vertAlign w:val="superscript"/>
                <w:rtl w:val="0"/>
              </w:rPr>
              <w:t xml:space="preserve">1</w:t>
            </w:r>
            <w:r w:rsidR="00000000" w:rsidRPr="00000000" w:rsidDel="00000000">
              <w:rPr>
                <w:sz w:val="24"/>
                <w:rtl w:val="0"/>
              </w:rPr>
              <w:t xml:space="preserve"> panta četrpadsmitā daļa) un likumprojekta 28. pants (58. panta otrās daļas 12.</w:t>
            </w:r>
            <w:r w:rsidR="00000000" w:rsidRPr="00000000" w:rsidDel="00000000">
              <w:rPr>
                <w:sz w:val="24"/>
                <w:vertAlign w:val="superscript"/>
                <w:rtl w:val="0"/>
              </w:rPr>
              <w:t xml:space="preserve">1</w:t>
            </w:r>
            <w:r w:rsidR="00000000" w:rsidRPr="00000000" w:rsidDel="00000000">
              <w:rPr>
                <w:sz w:val="24"/>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7. punkta "b" apakšpunkts (15. panta 4.g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pants (25.1 panta divdesmit otrā daļa) (skat. papildu skaidrojumu šīs tabulas sadaļā "Kā ir izmantota ES tiesību aktā paredzētā rīcības brīvība dalībvalstij pārņemt vai ieviest noteiktas ES tiesību akta normas? Kādēļ?")</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7. punkta "b" apakšpunkts (15. panta 4.h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pants (25.</w:t>
            </w:r>
            <w:r w:rsidR="00000000" w:rsidRPr="00000000" w:rsidDel="00000000">
              <w:rPr>
                <w:sz w:val="24"/>
                <w:vertAlign w:val="superscript"/>
                <w:rtl w:val="0"/>
              </w:rPr>
              <w:t xml:space="preserve">1</w:t>
            </w:r>
            <w:r w:rsidR="00000000" w:rsidRPr="00000000" w:rsidDel="00000000">
              <w:rPr>
                <w:sz w:val="24"/>
                <w:rtl w:val="0"/>
              </w:rPr>
              <w:t xml:space="preserve"> panta astoņpadsmitā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7. punkta "b" apakšpunkts (15. panta 4.i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pants (25.</w:t>
            </w:r>
            <w:r w:rsidR="00000000" w:rsidRPr="00000000" w:rsidDel="00000000">
              <w:rPr>
                <w:sz w:val="24"/>
                <w:vertAlign w:val="superscript"/>
                <w:rtl w:val="0"/>
              </w:rPr>
              <w:t xml:space="preserve">1</w:t>
            </w:r>
            <w:r w:rsidR="00000000" w:rsidRPr="00000000" w:rsidDel="00000000">
              <w:rPr>
                <w:sz w:val="24"/>
                <w:rtl w:val="0"/>
              </w:rPr>
              <w:t xml:space="preserve"> panta piecpadsmitā, sešpadsmitā un septiņpadsmitā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8. punkts (16. panta 2.a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pants (25.</w:t>
            </w:r>
            <w:r w:rsidR="00000000" w:rsidRPr="00000000" w:rsidDel="00000000">
              <w:rPr>
                <w:sz w:val="24"/>
                <w:vertAlign w:val="superscript"/>
                <w:rtl w:val="0"/>
              </w:rPr>
              <w:t xml:space="preserve">1</w:t>
            </w:r>
            <w:r w:rsidR="00000000" w:rsidRPr="00000000" w:rsidDel="00000000">
              <w:rPr>
                <w:sz w:val="24"/>
                <w:rtl w:val="0"/>
              </w:rPr>
              <w:t xml:space="preserve"> panta deviņpadsmitā, divdesmitā un divdesmit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8. punkts (16. panta 2.b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pants (26.</w:t>
            </w:r>
            <w:r w:rsidR="00000000" w:rsidRPr="00000000" w:rsidDel="00000000">
              <w:rPr>
                <w:sz w:val="24"/>
                <w:vertAlign w:val="superscript"/>
                <w:rtl w:val="0"/>
              </w:rPr>
              <w:t xml:space="preserve">2</w:t>
            </w:r>
            <w:r w:rsidR="00000000" w:rsidRPr="00000000" w:rsidDel="00000000">
              <w:rPr>
                <w:sz w:val="24"/>
                <w:rtl w:val="0"/>
              </w:rPr>
              <w:t xml:space="preserve">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8. punkts (16. panta 2.b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pants (26.</w:t>
            </w:r>
            <w:r w:rsidR="00000000" w:rsidRPr="00000000" w:rsidDel="00000000">
              <w:rPr>
                <w:sz w:val="24"/>
                <w:vertAlign w:val="superscript"/>
                <w:rtl w:val="0"/>
              </w:rPr>
              <w:t xml:space="preserve">2</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8. punkts (16. panta 2.b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pants (26.</w:t>
            </w:r>
            <w:r w:rsidR="00000000" w:rsidRPr="00000000" w:rsidDel="00000000">
              <w:rPr>
                <w:sz w:val="24"/>
                <w:vertAlign w:val="superscript"/>
                <w:rtl w:val="0"/>
              </w:rPr>
              <w:t xml:space="preserve">2</w:t>
            </w:r>
            <w:r w:rsidR="00000000" w:rsidRPr="00000000" w:rsidDel="00000000">
              <w:rPr>
                <w:sz w:val="24"/>
                <w:rtl w:val="0"/>
              </w:rPr>
              <w:t xml:space="preserve"> panta trešā un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8. punkts (16. panta 2.b 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pants (26.</w:t>
            </w:r>
            <w:r w:rsidR="00000000" w:rsidRPr="00000000" w:rsidDel="00000000">
              <w:rPr>
                <w:sz w:val="24"/>
                <w:vertAlign w:val="superscript"/>
                <w:rtl w:val="0"/>
              </w:rPr>
              <w:t xml:space="preserve">2</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8. punkts (16. panta 2.b punkta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pants (26.</w:t>
            </w:r>
            <w:r w:rsidR="00000000" w:rsidRPr="00000000" w:rsidDel="00000000">
              <w:rPr>
                <w:sz w:val="24"/>
                <w:vertAlign w:val="superscript"/>
                <w:rtl w:val="0"/>
              </w:rPr>
              <w:t xml:space="preserve">2</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8. punkts (16. panta 2.c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pants (26.2 panta pirmās daļas 2. punkts, kā arī sestā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8. punkts (16. panta 2.d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pants (26.</w:t>
            </w:r>
            <w:r w:rsidR="00000000" w:rsidRPr="00000000" w:rsidDel="00000000">
              <w:rPr>
                <w:sz w:val="24"/>
                <w:vertAlign w:val="superscript"/>
                <w:rtl w:val="0"/>
              </w:rPr>
              <w:t xml:space="preserve">2</w:t>
            </w:r>
            <w:r w:rsidR="00000000" w:rsidRPr="00000000" w:rsidDel="00000000">
              <w:rPr>
                <w:sz w:val="24"/>
                <w:rtl w:val="0"/>
              </w:rPr>
              <w:t xml:space="preserve"> panta astotā, desmitā un vienpadsmitā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Pārņemtas pilnībā, izņemot pēdējo teikumu, kurš paredz pilnvaras Eiropas Vērtspapīru un tirgu iestādei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8. punkts (16. panta 2.e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pants (26.</w:t>
            </w:r>
            <w:r w:rsidR="00000000" w:rsidRPr="00000000" w:rsidDel="00000000">
              <w:rPr>
                <w:sz w:val="24"/>
                <w:vertAlign w:val="superscript"/>
                <w:rtl w:val="0"/>
              </w:rPr>
              <w:t xml:space="preserve">1</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8. punkts (16. panta 2.f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 pants (25.</w:t>
            </w:r>
            <w:r w:rsidR="00000000" w:rsidRPr="00000000" w:rsidDel="00000000">
              <w:rPr>
                <w:sz w:val="24"/>
                <w:vertAlign w:val="superscript"/>
                <w:rtl w:val="0"/>
              </w:rPr>
              <w:t xml:space="preserve">1</w:t>
            </w:r>
            <w:r w:rsidR="00000000" w:rsidRPr="00000000" w:rsidDel="00000000">
              <w:rPr>
                <w:sz w:val="24"/>
                <w:rtl w:val="0"/>
              </w:rPr>
              <w:t xml:space="preserve"> panta divdesmitā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8. punkts (16. panta 2.g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pants (26.</w:t>
            </w:r>
            <w:r w:rsidR="00000000" w:rsidRPr="00000000" w:rsidDel="00000000">
              <w:rPr>
                <w:sz w:val="24"/>
                <w:vertAlign w:val="superscript"/>
                <w:rtl w:val="0"/>
              </w:rPr>
              <w:t xml:space="preserve">1</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8. punkts (16. panta 2.h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paredz uzdevumu Eiropas Vērtspapīru un tirgu iestādei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8. punkts (16. panta 2.i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paredz uzdevumu Eiropas Vērtspapīru un tirgu iestādei un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9. punkta “a” apakšpunkta  “i”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pants (28. panta pirmā un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9. punkta “a” apakšpunkta  “ii”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pants (28. panta otrās daļas 1. punkts, ceturtās daļas 3. punkts un devītā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9. punkta “b” apakšpunkts (20.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pants (28. panta divpadsmitā daļa un astotās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9. punkta “b” apakšpunkts (20. panta 3.a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pants (28. panta divpadsmitā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9.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pants (28. panta četrpadsmitā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9. punkta “d” apakšpunkts (20.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pants (28. panta piecpadsmitā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9. punkta “d” apakšpunkts (20. panta 6.a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 pants (28. panta sešpadsmitā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10.punkta “a”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 pants (47. panta 6.</w:t>
            </w:r>
            <w:r w:rsidR="00000000" w:rsidRPr="00000000" w:rsidDel="00000000">
              <w:rPr>
                <w:sz w:val="24"/>
                <w:vertAlign w:val="superscript"/>
                <w:rtl w:val="0"/>
              </w:rPr>
              <w:t xml:space="preserve">1</w:t>
            </w:r>
            <w:r w:rsidR="00000000" w:rsidRPr="00000000" w:rsidDel="00000000">
              <w:rPr>
                <w:sz w:val="24"/>
                <w:rtl w:val="0"/>
              </w:rPr>
              <w:t xml:space="preserve">, 6.</w:t>
            </w:r>
            <w:r w:rsidR="00000000" w:rsidRPr="00000000" w:rsidDel="00000000">
              <w:rPr>
                <w:sz w:val="24"/>
                <w:vertAlign w:val="superscript"/>
                <w:rtl w:val="0"/>
              </w:rPr>
              <w:t xml:space="preserve">2</w:t>
            </w:r>
            <w:r w:rsidR="00000000" w:rsidRPr="00000000" w:rsidDel="00000000">
              <w:rPr>
                <w:sz w:val="24"/>
                <w:rtl w:val="0"/>
              </w:rPr>
              <w:t xml:space="preserve">, 6.</w:t>
            </w:r>
            <w:r w:rsidR="00000000" w:rsidRPr="00000000" w:rsidDel="00000000">
              <w:rPr>
                <w:sz w:val="24"/>
                <w:vertAlign w:val="superscript"/>
                <w:rtl w:val="0"/>
              </w:rPr>
              <w:t xml:space="preserve">3</w:t>
            </w:r>
            <w:r w:rsidR="00000000" w:rsidRPr="00000000" w:rsidDel="00000000">
              <w:rPr>
                <w:sz w:val="24"/>
                <w:rtl w:val="0"/>
              </w:rPr>
              <w:t xml:space="preserve"> un 6.</w:t>
            </w:r>
            <w:r w:rsidR="00000000" w:rsidRPr="00000000" w:rsidDel="00000000">
              <w:rPr>
                <w:sz w:val="24"/>
                <w:vertAlign w:val="superscript"/>
                <w:rtl w:val="0"/>
              </w:rPr>
              <w:t xml:space="preserve">4</w:t>
            </w:r>
            <w:r w:rsidR="00000000" w:rsidRPr="00000000" w:rsidDel="00000000">
              <w:rPr>
                <w:sz w:val="24"/>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10.punkta “b” apakšpunkta “i”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 pants (grozījumi 47. panta septītajā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10.punkta “b” apakšpunkta “ii”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25. pants (47. panta 7.</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10.punkta “c” apakšpunkta “i”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27. pants (grozījumi 54. panta trešajā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10.punkta “c” apakšpunkta “ii”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27. pants (grozījumi 54. panta septītajā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10.punkta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26. pants (grozījumi 48. 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10.punkta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paredz uzdevumu Eiropas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11. punkta “a” apakšpunkta “i”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28. pants (grozījumi 58. panta otrās daļas 1. punktā), kā arī Alternatīvo ieguldījumu fondu un to pārvaldnieku likuma 58. panta otrās daļas 2., 3.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11. punkta “a” apakšpunkta “ii”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28. pants (grozījumi 58. panta otrās daļas 11.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11. punkta “a” apakšpunkta “iii”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28. pants (58. panta otrās daļas 12.</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28. pants (58. panta piektās daļas 4., 5.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paredz uzdevumu Eiropas Vērtspapīru un tirgu iestādei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Alternatīvo ieguldījumu fondu un to pārvaldnieku likuma 59. panta pirmajā un otrajā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12. punkta “b” apakšpunkta “i”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pants (grozījumi 59. panta otrās daļas 3. un 4.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12. punkta “b” apakšpunkta “ii”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pants (59. panta otrās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Alternatīvo ieguldījumu fondu un to pārvaldnieku likuma 59. panta septītajā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Pārņemtas pilnībā, izņemot Eiropas Vērtspapīru un tirgu iestādes pienākumu apspriesties ar Eiropas Sistēmisko risku kolēģiju, jo tas nav regulējams nacionālajos normatīvajos aktos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Alternatīvo ieguldījumu fondu un to pārvaldnieku likuma 59. panta pirmajā un otrajā daļā, kā arī likumprojekta 29. pantā (grozījumi 59. panta piektajā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29. pants (grozījumi 59. panta piektajā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30. pants (grozījumi 60. 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32. pants (grozījumi 72. 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32. pants (grozījumi 72. 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16.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Alternatīvo ieguldījumu fondu un to pārvaldnieku likuma 74. panta devītajā daļā un likumprojekta 32. pantā (grozījumi 72. 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33. pants (74. panta 9.</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Alternatīvo ieguldījumu fondu un to pārvaldnieku likuma 79. panta pirmajā daļā un likumprojekta 32. pantā (grozījumi 72. 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iepriekš tika izmantota rīcības brīvība nepārņemt Direktīvas Nr. 2011/61 42. 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23. pants (41. panta divpadsmitā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34. pants  (grozījumi 81. panta septītās daļas 14.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Alternatīvo ieguldījumu fondu un to pārvaldnieku likuma 85. panta pirmajā un otrajā daļā, kā arī likumprojekta 36. pantā (85. panta otrā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Pārņemtas tiktāl, ciktāl prasības attiecas uz dalībvalstīm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Alternatīvo ieguldījumu fondu un to pārvaldnieku likuma 85. panta pirmajā, otrajā un desmitajā daļā, kā arī likumprojekta 36. pantā (85. panta otrā daļas 5. punkts un grozījums trešajā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34.pants (81.panta septītās daļas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22. punkta “a” apakšpunkts (50.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Alternatīvo ieguldījumu fondu un to pārvaldnieku likuma 87. panta piektajā daļā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22. punkta “a” apakšpunkts (50. panta 5.a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37. pants (87.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22. punkta “a” apakšpunkts (50. panta 5.b un 5.c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37. pants (87.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22. punkta “a” apakšpunkts (50. panta 5.d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paredz uzdevumus Eiropas Vērtspapīru un tirgu iestādei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22. punkta “a” apakšpunkts (50. panta 5.e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37. pants (87.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Pārņemtas tiktāl, ciktāl prasības attiecas uz dalībvalstīm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22. punkta “a” apakšpunkts (50. panta 5.f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37. pants (87. panta devītā un desmitā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22. punkta “a” apakšpunkts (50. panta 5.g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37. pants (87. panta vienpadsmitā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Pārņemtas tiktāl, ciktāl prasības attiecas uz dalībvalstīm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22. punkta “a” apakšpunkts (50. panta 5.h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37. pants (87. panta divpadsmitā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paredz tiesības Eiropas Vērtspapīru un tirgu iestādei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paredz uzdevumu Eiropas Vērtspapīru un tirgu iestādei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 jo svītro normu, kas paredzēja iespēju  dalībvalstīm līdz 2017. gada 22. jūlijam ļaut par turētājbanku iecelt Direktīvas Nr. 2011/61 21. panta 3. punkta "a)" apakšpunktā minētās iestādes, kas veic komercdarbību citā dalībvalstī.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24. punkta “b” apakšpunkts (61. panta 6.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38. pants (pārejas noteikumu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24. punkta “b” apakšpunkts (61. panta 6.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38. pants (pārejas noteikumu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24. punkta “b” apakšpunkts (61. panta 6.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38. pants (pārejas noteikumu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24. punkta “b” apakšpunkts (61. panta 6. punkta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38. pants (pārejas noteikumu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24. punkta “b” apakšpunkts (61. panta 6. punkta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38. pants (pārejas noteikumu 31.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jo paredz uzdevumus Eiropas Komisijai un Eiropas Vērtspapīru un tirgu iestādei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Alternatīvo ieguldījumu fondu un to pārvaldnieku likuma 5. panta pirmajā un otrajā daļā, kā arī likumprojekta 3. pantā (5. panta otrās daļas 4.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18. pants (26.</w:t>
            </w:r>
            <w:r w:rsidR="00000000" w:rsidRPr="00000000" w:rsidDel="00000000">
              <w:rPr>
                <w:sz w:val="24"/>
                <w:vertAlign w:val="superscript"/>
                <w:rtl w:val="0"/>
              </w:rPr>
              <w:t xml:space="preserve">1</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3. panta 1. 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ietvertā spēkā stāšanās atruna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3. panta 1.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38. pants (pārejas noteikumu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brīvība izriet no Direktīvas Nr. 2024/927 1.panta 2. punkta, kurš faktiski paredz dalībvalstīm tiesības atļaut ārējam AIFP sniegt šādus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jebkuru citu funkciju vai darbību, ko AIFP jau veic saistībā ar AIF, kuru tas pārvalda saskaņā ar šo pantu, vai saistībā ar pakalpojumiem, kurus tas sniedz saskaņā ar šo punktu, ar noteikumu, ka tiek pienācīgi pārvaldīts jebkurš iespējamais interešu konflikts, ko rada šīs funkcijas vai darbības nodrošināšana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etalonu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kredītu apkalpošanas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Šī rīcības brīvība ir izmantota likumprojekta 3.pantā (5.panta septītās daļas 3. un 4. punkts un 8.</w:t>
            </w:r>
            <w:r w:rsidR="00000000" w:rsidRPr="00000000" w:rsidDel="00000000">
              <w:rPr>
                <w:sz w:val="24"/>
                <w:vertAlign w:val="superscript"/>
                <w:rtl w:val="0"/>
              </w:rPr>
              <w:t xml:space="preserve">1</w:t>
            </w:r>
            <w:r w:rsidR="00000000" w:rsidRPr="00000000" w:rsidDel="00000000">
              <w:rPr>
                <w:sz w:val="24"/>
                <w:rtl w:val="0"/>
              </w:rPr>
              <w:t xml:space="preserve"> daļa), lai veicinātu AIFP konkurētspēju Eiropas Savienības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2024/927 1. panta 7. punkta “b” apakšpunktā ir norādīts: "Neskarot citus Savienības tiesību instrumentus, dalībvalsts var aizliegt AIF, kuri izsniedz aizdevumus, tās teritorijā piešķirt aizdevumus patērētājiem, kas definēti Eiropas Parlamenta un Padomes Direktīvas 2008/48/EK 3. panta "a" punktā, un var tās teritorijā aizliegt AIF apkalpot šādiem patērētājiem piešķirtus aizdevumus. Šāds aizliegums neietekmē tādu AIF tirdzniecību Eiropas Savienībā, kuri piešķir aizdevumus patērētājiem vai apkalpo patērētājiem piešķirtos kredītus."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paredz iespēju, ka licencēts AIF piešķir aizdevumus patērētājiem Patērētāju tiesību aizsardzības likuma izpratnē, ievērojot Patērētāju tiesību aizsardzības likumā noteiktās prasības, tajā skaitā saņemot licenci patērētāju kreditēšanai.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ieviest vispārēju aizliegumu AIF izsniegt aizdevumus patērētājiem, jo šāda aizlieguma ieviešana neveicina  finanšu tirgus attīstību Latvijā. Direktīva Nr. 2024/927 ievieš vienotu regulējumu AIF aizdevumu izsniegšanas darbībai Eiropas Savienībā, lai veicinātu alternatīvu finansējuma avotu attīstību un papildinātu tradicionālo kredītiestāžu kreditēšanu. AIF, kas izsniedz aizdevumus, var sniegt papildu finansējuma iespējas ekonomikas dalībniekiem un veicināt konkurenci kreditēšanas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Aizliegums licencētiem AIF izsniegt aizdevumus patērētājiem varētu ierobežot finansējuma kanālu attīstību un samazināt konkurenci kreditēšanas tirgū, tādējādi samazinot patērētāju izvēles iespējas. Tas arī nebūtu samērīgs regulējuma instruments, jo patērētāju kreditēšana Eiropas Savienībā jau tiek regulēta ar horizontāliem tiesību aktiem, tostarp ar Eiropas Parlamenta un Padomes 2008. gada 23. aprīļa direktīvu 2008/48/EK par patēriņa kredītlīgumiem un ar ko atceļ Padomes direktīvu 87/102/EEK, kuras prasības ir pārņemtas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jānorāda, ka šāds aizliegums radītu regulējuma nekonsekvenci finanšu sektorā, jo patērētāju kreditēšanu Latvijā var veikt citi finanšu pakalpojumu sniedzēji, kuriem tiek piemērots patērētāju kreditēšanas regulējums. Līdz ar to nav pamata īpaši ierobežot licencētu AIF darbību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viens no Direktīvas Nr. 2024/927 mērķiem ir veicināt efektīvu Eiropas Savienības iekšējā tirgus darbību AIF sektorā un mazināt regulējuma fragmentāciju starp dalībvalstīm, iespēja izmantot aizliegumu patērētāju kreditēšanai varētu kavēt šā mērķa sasniegšanu. Ievērojot minēto, lai veicinātu vienotā tirgus attīstību un konkurētspēju finanšu tirgū, nebūtu lietderīgi ieviest vispārēju aizliegumu AIF izsniegt aizdevumus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ir uzsverams, ka iesaiste patērētāju kreditēšanas darbībā būtu pieļaujama tikai tiem AIFP, kuri ir saņēmuši attiecīgu licenci un pakļauti pilnvērtīgai uzraudzībai. Ņemot vērā, ka Latvijas Banka attiecībā uz reģistrētiem AIFP Latvijā īsteno ierobežota apjoma uzraudzību, kas galvenokārt aprobežojas ar pārvaldnieka akcionāru (dalībnieku) un amatpersonu atbilstības izvērtēšanu, reģistrācijas un informācijas sniegšanas pienākumu kontroli, kā arī Eiropas Parlamenta un Padomes 2014. gada 26. novembra regulas (ES) Nr. 1286/2014 par komplektētu privāto ieguldījumu un apdrošināšanas ieguldījumu produktu (PRIIP) pamatinformācijas dokumentiem prasību ievērošanu, secināms, ka šāda uzraudzības pieeja nav pietiekama, lai nodrošinātu atbilstošu risku pārvaldību patērētāju kreditēšanas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jāņem vērā, ka Latvijā reģistrētiem AIFP ir tiesības izplatīt fondu ieguldījumu daļas arī neprofesionālajiem ieguldītājiem. Šādos apstākļos pastāv būtisks risks, ka ar patērētāju kreditēšanu saistītie riski faktiski tiek pārnesti uz ieguldītājiem, kuriem var nebūt pietiekamu zināšanu vai pieredzes šo risku adekvātai izvērtēšanai un uzņemšanai. Šāda situācija rada nesamērīgu risku līmeni un neatbilst ieguldītāju aizsardzības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rīcības brīvības otrā aspekta ("var tās teritorijā aizliegt AIF apkalpot šādiem patērētājiem piešķirtus aizdevumus") izmantošanu, skaidrojam, ka šāda darbība saskaņā ar Parādu ārpustiesas atgūšanas likumu jau šobrīd ir atļauta AIFP un nav nepieciešams to ierobežot.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 panta 10. punkta "a" apakšpunktā paredzētā dalībvalsts rīcības brīvība ir izmantota likumprojekta 25.pantā, ļaujot par Latvijā dibināta fonda turētājbanku uzvēlēties citā dalībvalstī reģistrētu kredītiestādi, saņemot Latvijas Bankas atļauju un vienlaikus izpildot noteiktus nosacījumus. Šāds risinājums ir izvēlēts, lai veicinātu konkurenci turētājbanku pakalpojumu sniedzēju lokā.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Izmantota rīcības brīvība nepārņemt Direktīvas Nr. 2024/927 1. panta 18. punktu, jo iepriekš tika izmantota rīcības brīvība nepārņemt Direktīvas Nr. 2011/61 42.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to, ka likumprojekts paredz AIFP iespēju sniegt jaunus pakalpojumus (etalonu administrēšana un kredītu apkalpošana), Latvijas Bankai būs jānodrošina šo jauno pakalpojumu uzraudzība, ja tādi tiks sniegti.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25-TA-2104</w:t>
    </w:r>
    <w:r>
      <w:br/>
    </w:r>
    <w:r w:rsidR="00000000" w:rsidRPr="00000000" w:rsidDel="00000000">
      <w:rPr>
        <w:rtl w:val="0"/>
      </w:rPr>
      <w:t xml:space="preserve">Izdrukāts 29.07.2026. 23.20 - 6.0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25-TA-2104</w:t>
    </w:r>
    <w:r>
      <w:br/>
    </w:r>
    <w:r w:rsidR="00000000" w:rsidRPr="00000000" w:rsidDel="00000000">
      <w:rPr>
        <w:rtl w:val="0"/>
      </w:rPr>
      <w:t xml:space="preserve">Izdrukāts 29.07.2026. 23.20 - 6.0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anotācija_(ex_ante)_25-TA-2104.docx</dc:title>
</cp:coreProperties>
</file>

<file path=docProps/custom.xml><?xml version="1.0" encoding="utf-8"?>
<Properties xmlns="http://schemas.openxmlformats.org/officeDocument/2006/custom-properties" xmlns:vt="http://schemas.openxmlformats.org/officeDocument/2006/docPropsVTypes"/>
</file>