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21. maija noteikumos Nr. 301 "Valsts atbalsta piešķiršanas kārtība lauksaimniecības un zivsaimniecības tirgus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neizmantotā finansējuma izlietojums pasākumos, kuros tas ir nepieciešams.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pārdalīt finansējumu starp veicināšanas pasākumiem, novirzot finansējuma atlikumu pēc pieteikuma termiņa beigām no pasākumiem, kuros finansējums netika izlietots, uz pasākumiem, kuros tas ir papildus nepieciešams.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21. maija noteikumos Nr. 301 "Valsts atbalsta piešķiršanas kārtība lauksaimniecības un zivsaimniecības tirgus veicināšanai" (turpmāk – noteikumi) ir paredzēts 1 163 500 </w:t>
      </w:r>
      <w:r w:rsidR="00000000" w:rsidRPr="00000000" w:rsidDel="00000000">
        <w:rPr>
          <w:i w:val="1"/>
          <w:rtl w:val="0"/>
        </w:rPr>
        <w:t xml:space="preserve">euro</w:t>
      </w:r>
      <w:r w:rsidR="00000000" w:rsidRPr="00000000" w:rsidDel="00000000">
        <w:rPr>
          <w:rtl w:val="0"/>
        </w:rPr>
        <w:t xml:space="preserve"> liels valsts finansējums, kas sadalīts šādiem tirgus veicināšanas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lauksaimniecības un pārtikas sektora pārstāvniecības stendu starptautiskajās izstādēs (kopstends) organizēšanai un dalībai tajos – 522 500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līdzfinansējumam dalībai starptautiskajās lauksaimniecības un pārtikas izstādēs ārvalstīs – 181 000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līdzfinansējumam dalībai kopstendos, arī tajos, kas tiek organizēti saskaņā ar normatīvajiem aktiem par valsts atbalstu lauksaimniecībai, – 360 000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piekrastes zvejniecības attīstības mārketinga programmas īstenošanai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Pieteikties uz atbalstu 1. un 2. iepriekšminētajā pasākumā bija iespējams līdz šā gada 1. novembrim. Līdz termiņa beigām pieteiktais atbalsta apmērs 2. pasākumā bija 53 100,00 </w:t>
      </w:r>
      <w:r w:rsidR="00000000" w:rsidRPr="00000000" w:rsidDel="00000000">
        <w:rPr>
          <w:i w:val="1"/>
          <w:rtl w:val="0"/>
        </w:rPr>
        <w:t xml:space="preserve">euro</w:t>
      </w:r>
      <w:r w:rsidR="00000000" w:rsidRPr="00000000" w:rsidDel="00000000">
        <w:rPr>
          <w:rtl w:val="0"/>
        </w:rPr>
        <w:t xml:space="preserve">, bet 3. pasākumā – 235 900,00 </w:t>
      </w:r>
      <w:r w:rsidR="00000000" w:rsidRPr="00000000" w:rsidDel="00000000">
        <w:rPr>
          <w:i w:val="1"/>
          <w:rtl w:val="0"/>
        </w:rPr>
        <w:t xml:space="preserve">euro</w:t>
      </w:r>
      <w:r w:rsidR="00000000" w:rsidRPr="00000000" w:rsidDel="00000000">
        <w:rPr>
          <w:rtl w:val="0"/>
        </w:rPr>
        <w:t xml:space="preserve">, tāpēc veidojas pieejamā finansējuma atlikums.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Agroresursu un ekonomikas institūts vērsās Zemkopības ministrijā ar lūgumu rast papildfinansējumu nākamā gada izstāžu kopstendu organizēšanai, jo kopstendu organizēšana, tostarp vietu rezervācija, jāsāk laikus, lai iegūtu izdevīgākus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pārtikas ražotāji ir vērsušies Zemkopības ministrijā ar lūgumu rast papildfinansējumu kopstendu organizēšanai, uzsverot, ka dalība starptautiskajās izstādēs ir galvenais eksporta veicināšanas veids. Ražotājiem, kas ir orientēti uz eksportu, dalība izstādēs ir galvenais jaunu klientu iegūšanas avots, bez kura ražotāji nevar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Agroresursu un ekonomikas institūts, kas īsteno piekrastes zvejniecības attīstības mārketinga programmu, arī ir vērsies Zemkopības ministrijā par papildlīdzekļu nepieciešamību programmas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Agroresursu un ekonomikas institūtam par piekrastes zvejniecības attīstības mārketinga programmas īstenotajiem pasākumiem ir jāiesniedz pārskats un samaksu apliecinošo dokumentu kopsavilkums līdz 2024. gada 2. decembrim.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plānotos veicināšanas pasākumus, nepieciešams pārdalīt finansējumu no pasākumiem, kuros ir izveidojies finansējuma atlikums, uz pasākumu, kurā ir nepieciešams papildfinansējums, tādēļ finansējums kopsummā 247 000 </w:t>
      </w:r>
      <w:r w:rsidR="00000000" w:rsidRPr="00000000" w:rsidDel="00000000">
        <w:rPr>
          <w:i w:val="1"/>
          <w:rtl w:val="0"/>
        </w:rPr>
        <w:t xml:space="preserve">euro</w:t>
      </w:r>
      <w:r w:rsidR="00000000" w:rsidRPr="00000000" w:rsidDel="00000000">
        <w:rPr>
          <w:rtl w:val="0"/>
        </w:rPr>
        <w:t xml:space="preserve"> apmērā no noteikumu 2.2. un 2.3. apakšpunktā minētajiem pasākumiem tiek pārdalīts uz noteikumu 2.1. un 2.4. apakšpunktā minētajiem pasākumiem, attiecīgi 230 500</w:t>
      </w:r>
      <w:r w:rsidR="00000000" w:rsidRPr="00000000" w:rsidDel="00000000">
        <w:rPr>
          <w:i w:val="1"/>
          <w:rtl w:val="0"/>
        </w:rPr>
        <w:t xml:space="preserve"> euro</w:t>
      </w:r>
      <w:r w:rsidR="00000000" w:rsidRPr="00000000" w:rsidDel="00000000">
        <w:rPr>
          <w:rtl w:val="0"/>
        </w:rPr>
        <w:t xml:space="preserve"> un 16 500 </w:t>
      </w:r>
      <w:r w:rsidR="00000000" w:rsidRPr="00000000" w:rsidDel="00000000">
        <w:rPr>
          <w:i w:val="1"/>
          <w:rtl w:val="0"/>
        </w:rPr>
        <w:t xml:space="preserve">euro </w:t>
      </w:r>
      <w:r w:rsidR="00000000" w:rsidRPr="00000000" w:rsidDel="00000000">
        <w:rPr>
          <w:rtl w:val="0"/>
        </w:rPr>
        <w:t xml:space="preserve">apmērā katram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Agroresursu un ekonomikas institūtam piekrastes zvejniecības attīstības mārketinga programmas īstenošanai tiks piešķirts papildu finansējums un būs nepieciešams precizēt iesniegumu un tāmi, paredzot papildpasākumus, kā arī šie pasākumi vēl būs jānoorganizē, tad, lai varētu pagūt iesniegt pārskatu, iekļaujot arī papildus īstenotos pasākumus, pārskata iesniegšanas datums jāmaina no 2. uz 13. decembri.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finansējums ir jāizlieto vēl 2024. gadā, tad 1. pasākumā kopstendu organizēšanā finansējums tiks izmantots rezervācijai un maksājumam par 2025. gada izstādēm, un tas ir jādara laikus.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 pasākuma finansējums tiks izlietots tīmekļvietnes papildināšanai un meistarklases organizēšanai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izdevumi attieksies uz 2024.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Tiešie ieguvēji būs uzņēmumi un nevalstiskās organizācijas, kas saņems atbalstu, tā veicinot savu konkurētspēju vietējā un eksporta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Apstrādes rūpniecība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noteikumu projektā noteiktais valsts atbalsts stimulēs lauksaimniecības un pārtikas nozares konkurētspēju un popularizēs šīs nozares, tā veicinot ražošanas apjoma kāpumu.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zivsaimniecības un pārtikas nozarei ir ievērojama nozīme valsts ekonomikā. Tādējādi atbalsta pasākumi šajās nozarēs pozitīvi ietekmēs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palielināt lauksaimniecības, zivsaimniecības un pārtikas nozares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zivsaimniecības un nozaru popularizēšana vistiešāk var ietekmēt tieši mazos un vidējos uzņēmumus, kas darbojas šajā nozarē, veicinot to atpazīstamību un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atbalsts veicinās lauksaimniecības, zivsaimniecības un pārtikas nozaru uzņēmumu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projekta īstenošanai paredzēts Zemkopības ministrijas budžeta apakšprogrammā 21.01.00 "Valsts atbalsts lauksaimniecības un lauku attīstībai" un tiks izmantots līdz 2024. gada beigām.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tikai tehnisku neizlietotā finansējuma pārdali bez grozījumiem pēc būtības.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24-TA-2854</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24-TA-2854</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anotācija_(ex_ante)_24-TA-2854.docx</dc:title>
</cp:coreProperties>
</file>

<file path=docProps/custom.xml><?xml version="1.0" encoding="utf-8"?>
<Properties xmlns="http://schemas.openxmlformats.org/officeDocument/2006/custom-properties" xmlns:vt="http://schemas.openxmlformats.org/officeDocument/2006/docPropsVTypes"/>
</file>